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jc w:val="center"/>
        <w:rPr>
          <w:b/>
          <w:bCs/>
          <w:sz w:val="44"/>
          <w:szCs w:val="44"/>
        </w:rPr>
      </w:pPr>
    </w:p>
    <w:p>
      <w:pPr>
        <w:rPr>
          <w:b/>
          <w:bCs/>
          <w:sz w:val="44"/>
          <w:szCs w:val="44"/>
        </w:rPr>
      </w:pPr>
    </w:p>
    <w:p>
      <w:pPr>
        <w:rPr>
          <w:b/>
          <w:bCs/>
          <w:sz w:val="44"/>
          <w:szCs w:val="44"/>
        </w:rPr>
      </w:pPr>
    </w:p>
    <w:p>
      <w:pPr>
        <w:jc w:val="center"/>
        <w:rPr>
          <w:b/>
          <w:bCs/>
          <w:sz w:val="44"/>
          <w:szCs w:val="44"/>
        </w:rPr>
      </w:pPr>
      <w:r>
        <w:rPr>
          <w:rFonts w:hint="eastAsia"/>
          <w:b/>
          <w:bCs/>
          <w:sz w:val="44"/>
          <w:szCs w:val="44"/>
        </w:rPr>
        <w:t>中医内科临床诊疗指南 登革热</w:t>
      </w:r>
    </w:p>
    <w:p>
      <w:pPr>
        <w:jc w:val="center"/>
        <w:rPr>
          <w:rFonts w:ascii="仿宋" w:hAnsi="仿宋" w:eastAsia="仿宋" w:cs="仿宋"/>
          <w:b/>
          <w:bCs/>
          <w:sz w:val="30"/>
          <w:szCs w:val="30"/>
        </w:rPr>
      </w:pPr>
      <w:r>
        <w:rPr>
          <w:rFonts w:hint="eastAsia" w:ascii="仿宋" w:hAnsi="仿宋" w:eastAsia="仿宋" w:cs="仿宋"/>
          <w:b/>
          <w:bCs/>
          <w:sz w:val="30"/>
          <w:szCs w:val="30"/>
        </w:rPr>
        <w:t>项目编号：SATCM - 2015 - BZ〔174〕</w:t>
      </w:r>
    </w:p>
    <w:p>
      <w:pPr>
        <w:jc w:val="center"/>
        <w:rPr>
          <w:b/>
          <w:bCs/>
          <w:sz w:val="44"/>
          <w:szCs w:val="44"/>
        </w:rPr>
      </w:pPr>
      <w:r>
        <w:rPr>
          <w:rFonts w:hint="eastAsia"/>
          <w:b/>
          <w:bCs/>
          <w:sz w:val="44"/>
          <w:szCs w:val="44"/>
        </w:rPr>
        <w:t>编制说明</w:t>
      </w: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rPr>
          <w:rFonts w:ascii="宋体" w:hAnsi="宋体"/>
          <w:b/>
          <w:szCs w:val="21"/>
        </w:rPr>
      </w:pPr>
    </w:p>
    <w:p>
      <w:pPr>
        <w:jc w:val="left"/>
        <w:rPr>
          <w:rFonts w:ascii="仿宋" w:hAnsi="仿宋" w:eastAsia="仿宋" w:cs="仿宋"/>
          <w:sz w:val="32"/>
          <w:szCs w:val="32"/>
        </w:rPr>
      </w:pPr>
      <w:r>
        <w:rPr>
          <w:rFonts w:hint="eastAsia" w:ascii="仿宋" w:hAnsi="仿宋" w:eastAsia="仿宋" w:cs="仿宋"/>
          <w:sz w:val="32"/>
          <w:szCs w:val="32"/>
        </w:rPr>
        <w:t>提出单位：中华中医药学会</w:t>
      </w:r>
    </w:p>
    <w:p>
      <w:pPr>
        <w:jc w:val="left"/>
        <w:rPr>
          <w:rFonts w:ascii="仿宋" w:hAnsi="仿宋" w:eastAsia="仿宋" w:cs="仿宋"/>
          <w:sz w:val="32"/>
          <w:szCs w:val="32"/>
        </w:rPr>
      </w:pPr>
      <w:r>
        <w:rPr>
          <w:rFonts w:hint="eastAsia" w:ascii="仿宋" w:hAnsi="仿宋" w:eastAsia="仿宋" w:cs="仿宋"/>
          <w:sz w:val="32"/>
          <w:szCs w:val="32"/>
        </w:rPr>
        <w:t>归口单位：中华中医药学会</w:t>
      </w:r>
    </w:p>
    <w:p>
      <w:pPr>
        <w:jc w:val="left"/>
        <w:rPr>
          <w:rFonts w:ascii="仿宋" w:hAnsi="仿宋" w:eastAsia="仿宋" w:cs="仿宋"/>
          <w:sz w:val="32"/>
          <w:szCs w:val="32"/>
        </w:rPr>
      </w:pPr>
      <w:r>
        <w:rPr>
          <w:rFonts w:hint="eastAsia" w:ascii="仿宋" w:hAnsi="仿宋" w:eastAsia="仿宋" w:cs="仿宋"/>
          <w:sz w:val="32"/>
          <w:szCs w:val="32"/>
        </w:rPr>
        <w:t>项目承担单位：广东省中医院</w:t>
      </w:r>
    </w:p>
    <w:p>
      <w:pPr>
        <w:ind w:left="2560" w:hanging="2560" w:hangingChars="800"/>
        <w:jc w:val="left"/>
        <w:rPr>
          <w:rFonts w:ascii="仿宋" w:hAnsi="仿宋" w:eastAsia="仿宋" w:cs="仿宋"/>
          <w:sz w:val="32"/>
          <w:szCs w:val="32"/>
        </w:rPr>
      </w:pPr>
      <w:r>
        <w:rPr>
          <w:rFonts w:hint="eastAsia" w:ascii="仿宋" w:hAnsi="仿宋" w:eastAsia="仿宋" w:cs="仿宋"/>
          <w:sz w:val="32"/>
          <w:szCs w:val="32"/>
        </w:rPr>
        <w:t>项目工作组成员：张忠德，刘清泉，覃小兰，李芳，丁邦晗，王玉光，王严冬，王政林，叶勇，李典鸿，刘南，曲敬来，何明丰，吴晖，张汉洪，张文青，郭新峰，黄小民，缪英年，谭行华，刘云涛，唐丽娟等。</w:t>
      </w:r>
    </w:p>
    <w:p>
      <w:pPr>
        <w:jc w:val="left"/>
        <w:rPr>
          <w:rFonts w:ascii="仿宋" w:hAnsi="仿宋" w:eastAsia="仿宋" w:cs="仿宋"/>
          <w:b/>
          <w:sz w:val="32"/>
          <w:szCs w:val="32"/>
        </w:rPr>
      </w:pPr>
    </w:p>
    <w:p>
      <w:pPr>
        <w:jc w:val="left"/>
        <w:rPr>
          <w:rFonts w:ascii="仿宋" w:hAnsi="仿宋" w:eastAsia="仿宋" w:cs="仿宋"/>
          <w:b/>
          <w:sz w:val="32"/>
          <w:szCs w:val="32"/>
        </w:rPr>
      </w:pPr>
    </w:p>
    <w:p>
      <w:pPr>
        <w:jc w:val="center"/>
        <w:rPr>
          <w:rFonts w:ascii="仿宋" w:hAnsi="仿宋" w:eastAsia="仿宋" w:cs="仿宋"/>
          <w:b/>
          <w:sz w:val="32"/>
          <w:szCs w:val="32"/>
        </w:rPr>
      </w:pPr>
    </w:p>
    <w:p>
      <w:pPr>
        <w:jc w:val="center"/>
        <w:rPr>
          <w:rFonts w:ascii="仿宋" w:hAnsi="仿宋" w:eastAsia="仿宋" w:cs="仿宋"/>
          <w:sz w:val="32"/>
          <w:szCs w:val="32"/>
        </w:rPr>
      </w:pPr>
      <w:r>
        <w:rPr>
          <w:rFonts w:hint="eastAsia" w:ascii="仿宋" w:hAnsi="仿宋" w:eastAsia="仿宋" w:cs="仿宋"/>
          <w:sz w:val="32"/>
          <w:szCs w:val="32"/>
        </w:rPr>
        <w:t>二0一七年3月</w:t>
      </w:r>
    </w:p>
    <w:p>
      <w:pPr>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br w:type="page"/>
      </w:r>
    </w:p>
    <w:p>
      <w:pPr>
        <w:spacing w:line="360" w:lineRule="auto"/>
        <w:jc w:val="center"/>
      </w:pPr>
      <w:r>
        <w:rPr>
          <w:rFonts w:hint="eastAsia" w:asciiTheme="minorEastAsia" w:hAnsiTheme="minorEastAsia" w:cstheme="minorEastAsia"/>
          <w:b/>
          <w:sz w:val="36"/>
          <w:szCs w:val="36"/>
        </w:rPr>
        <w:t>目  录</w:t>
      </w:r>
      <w:r>
        <w:rPr>
          <w:rFonts w:asciiTheme="minorEastAsia" w:hAnsiTheme="minorEastAsia" w:cstheme="minorEastAsia"/>
          <w:sz w:val="24"/>
        </w:rPr>
        <w:fldChar w:fldCharType="begin"/>
      </w:r>
      <w:r>
        <w:rPr>
          <w:rFonts w:asciiTheme="minorEastAsia" w:hAnsiTheme="minorEastAsia" w:cstheme="minorEastAsia"/>
          <w:sz w:val="24"/>
        </w:rPr>
        <w:instrText xml:space="preserve"> </w:instrText>
      </w:r>
      <w:r>
        <w:rPr>
          <w:rFonts w:hint="eastAsia" w:asciiTheme="minorEastAsia" w:hAnsiTheme="minorEastAsia" w:cstheme="minorEastAsia"/>
          <w:sz w:val="24"/>
        </w:rPr>
        <w:instrText xml:space="preserve">TOC \o "1-2" \h \z \u</w:instrText>
      </w:r>
      <w:r>
        <w:rPr>
          <w:rFonts w:asciiTheme="minorEastAsia" w:hAnsiTheme="minorEastAsia" w:cstheme="minorEastAsia"/>
          <w:sz w:val="24"/>
        </w:rPr>
        <w:instrText xml:space="preserve"> </w:instrText>
      </w:r>
      <w:r>
        <w:rPr>
          <w:rFonts w:asciiTheme="minorEastAsia" w:hAnsiTheme="minorEastAsia" w:cstheme="minorEastAsia"/>
          <w:sz w:val="24"/>
        </w:rPr>
        <w:fldChar w:fldCharType="separate"/>
      </w:r>
    </w:p>
    <w:p>
      <w:pPr>
        <w:pStyle w:val="4"/>
        <w:tabs>
          <w:tab w:val="right" w:leader="dot" w:pos="8296"/>
        </w:tabs>
        <w:spacing w:line="360" w:lineRule="auto"/>
        <w:rPr>
          <w:rFonts w:asciiTheme="minorEastAsia" w:hAnsiTheme="minorEastAsia"/>
          <w:sz w:val="24"/>
        </w:rPr>
      </w:pPr>
      <w:r>
        <w:fldChar w:fldCharType="begin"/>
      </w:r>
      <w:r>
        <w:instrText xml:space="preserve"> HYPERLINK \l "_Toc497922126" </w:instrText>
      </w:r>
      <w:r>
        <w:fldChar w:fldCharType="separate"/>
      </w:r>
      <w:r>
        <w:rPr>
          <w:rStyle w:val="8"/>
          <w:rFonts w:cs="黑体" w:asciiTheme="minorEastAsia" w:hAnsiTheme="minorEastAsia"/>
          <w:bCs/>
          <w:sz w:val="24"/>
        </w:rPr>
        <w:t xml:space="preserve">1 </w:t>
      </w:r>
      <w:r>
        <w:rPr>
          <w:rStyle w:val="8"/>
          <w:rFonts w:hint="eastAsia" w:cs="黑体" w:asciiTheme="minorEastAsia" w:hAnsiTheme="minorEastAsia"/>
          <w:bCs/>
          <w:sz w:val="24"/>
        </w:rPr>
        <w:t>工作简况</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_Toc497922126 \h </w:instrText>
      </w:r>
      <w:r>
        <w:rPr>
          <w:rFonts w:asciiTheme="minorEastAsia" w:hAnsiTheme="minorEastAsia"/>
          <w:sz w:val="24"/>
        </w:rPr>
        <w:fldChar w:fldCharType="separate"/>
      </w:r>
      <w:r>
        <w:rPr>
          <w:rFonts w:asciiTheme="minorEastAsia" w:hAnsiTheme="minorEastAsia"/>
          <w:sz w:val="24"/>
        </w:rPr>
        <w:t>4</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"_Toc497922127" </w:instrText>
      </w:r>
      <w:r>
        <w:fldChar w:fldCharType="separate"/>
      </w:r>
      <w:r>
        <w:rPr>
          <w:rStyle w:val="8"/>
          <w:rFonts w:cs="仿宋" w:asciiTheme="minorEastAsia" w:hAnsiTheme="minorEastAsia"/>
          <w:sz w:val="24"/>
        </w:rPr>
        <w:t xml:space="preserve">1.1 </w:t>
      </w:r>
      <w:r>
        <w:rPr>
          <w:rStyle w:val="8"/>
          <w:rFonts w:hint="eastAsia" w:cs="仿宋" w:asciiTheme="minorEastAsia" w:hAnsiTheme="minorEastAsia"/>
          <w:sz w:val="24"/>
        </w:rPr>
        <w:t>任务来源</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_Toc497922127 \h </w:instrText>
      </w:r>
      <w:r>
        <w:rPr>
          <w:rFonts w:asciiTheme="minorEastAsia" w:hAnsiTheme="minorEastAsia"/>
          <w:sz w:val="24"/>
        </w:rPr>
        <w:fldChar w:fldCharType="separate"/>
      </w:r>
      <w:r>
        <w:rPr>
          <w:rFonts w:asciiTheme="minorEastAsia" w:hAnsiTheme="minorEastAsia"/>
          <w:sz w:val="24"/>
        </w:rPr>
        <w:t>4</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"_Toc497922128" </w:instrText>
      </w:r>
      <w:r>
        <w:fldChar w:fldCharType="separate"/>
      </w:r>
      <w:r>
        <w:rPr>
          <w:rStyle w:val="8"/>
          <w:rFonts w:cs="仿宋" w:asciiTheme="minorEastAsia" w:hAnsiTheme="minorEastAsia"/>
          <w:sz w:val="24"/>
        </w:rPr>
        <w:t xml:space="preserve">1.2 </w:t>
      </w:r>
      <w:r>
        <w:rPr>
          <w:rStyle w:val="8"/>
          <w:rFonts w:hint="eastAsia" w:cs="仿宋" w:asciiTheme="minorEastAsia" w:hAnsiTheme="minorEastAsia"/>
          <w:sz w:val="24"/>
        </w:rPr>
        <w:t>协作单位</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_Toc497922128 \h </w:instrText>
      </w:r>
      <w:r>
        <w:rPr>
          <w:rFonts w:asciiTheme="minorEastAsia" w:hAnsiTheme="minorEastAsia"/>
          <w:sz w:val="24"/>
        </w:rPr>
        <w:fldChar w:fldCharType="separate"/>
      </w:r>
      <w:r>
        <w:rPr>
          <w:rFonts w:asciiTheme="minorEastAsia" w:hAnsiTheme="minorEastAsia"/>
          <w:sz w:val="24"/>
        </w:rPr>
        <w:t>5</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"_Toc497922129" </w:instrText>
      </w:r>
      <w:r>
        <w:fldChar w:fldCharType="separate"/>
      </w:r>
      <w:r>
        <w:rPr>
          <w:rStyle w:val="8"/>
          <w:rFonts w:cs="仿宋" w:asciiTheme="minorEastAsia" w:hAnsiTheme="minorEastAsia"/>
          <w:sz w:val="24"/>
        </w:rPr>
        <w:t xml:space="preserve">1.3 </w:t>
      </w:r>
      <w:r>
        <w:rPr>
          <w:rStyle w:val="8"/>
          <w:rFonts w:hint="eastAsia" w:cs="仿宋" w:asciiTheme="minorEastAsia" w:hAnsiTheme="minorEastAsia"/>
          <w:sz w:val="24"/>
        </w:rPr>
        <w:t>主要工作过程</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_Toc497922129 \h </w:instrText>
      </w:r>
      <w:r>
        <w:rPr>
          <w:rFonts w:asciiTheme="minorEastAsia" w:hAnsiTheme="minorEastAsia"/>
          <w:sz w:val="24"/>
        </w:rPr>
        <w:fldChar w:fldCharType="separate"/>
      </w:r>
      <w:r>
        <w:rPr>
          <w:rFonts w:asciiTheme="minorEastAsia" w:hAnsiTheme="minorEastAsia"/>
          <w:sz w:val="24"/>
        </w:rPr>
        <w:t>5</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"_Toc497922130" </w:instrText>
      </w:r>
      <w:r>
        <w:fldChar w:fldCharType="separate"/>
      </w:r>
      <w:r>
        <w:rPr>
          <w:rStyle w:val="8"/>
          <w:rFonts w:cs="仿宋" w:asciiTheme="minorEastAsia" w:hAnsiTheme="minorEastAsia"/>
          <w:sz w:val="24"/>
        </w:rPr>
        <w:t xml:space="preserve">1.4 </w:t>
      </w:r>
      <w:r>
        <w:rPr>
          <w:rStyle w:val="8"/>
          <w:rFonts w:hint="eastAsia" w:cs="仿宋" w:asciiTheme="minorEastAsia" w:hAnsiTheme="minorEastAsia"/>
          <w:sz w:val="24"/>
        </w:rPr>
        <w:t>标准主要起草人及其所做工作</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_Toc497922130 \h </w:instrText>
      </w:r>
      <w:r>
        <w:rPr>
          <w:rFonts w:asciiTheme="minorEastAsia" w:hAnsiTheme="minorEastAsia"/>
          <w:sz w:val="24"/>
        </w:rPr>
        <w:fldChar w:fldCharType="separate"/>
      </w:r>
      <w:r>
        <w:rPr>
          <w:rFonts w:asciiTheme="minorEastAsia" w:hAnsiTheme="minorEastAsia"/>
          <w:sz w:val="24"/>
        </w:rPr>
        <w:t>9</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"_Toc497922131" </w:instrText>
      </w:r>
      <w:r>
        <w:fldChar w:fldCharType="separate"/>
      </w:r>
      <w:r>
        <w:rPr>
          <w:rStyle w:val="8"/>
          <w:rFonts w:cs="黑体" w:asciiTheme="minorEastAsia" w:hAnsiTheme="minorEastAsia"/>
          <w:bCs/>
          <w:sz w:val="24"/>
        </w:rPr>
        <w:t xml:space="preserve">2 </w:t>
      </w:r>
      <w:r>
        <w:rPr>
          <w:rStyle w:val="8"/>
          <w:rFonts w:hint="eastAsia" w:cs="黑体" w:asciiTheme="minorEastAsia" w:hAnsiTheme="minorEastAsia"/>
          <w:bCs/>
          <w:sz w:val="24"/>
        </w:rPr>
        <w:t>标准编制原则和确定标准主要内容的论据</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_Toc497922131 \h </w:instrText>
      </w:r>
      <w:r>
        <w:rPr>
          <w:rFonts w:asciiTheme="minorEastAsia" w:hAnsiTheme="minorEastAsia"/>
          <w:sz w:val="24"/>
        </w:rPr>
        <w:fldChar w:fldCharType="separate"/>
      </w:r>
      <w:r>
        <w:rPr>
          <w:rFonts w:asciiTheme="minorEastAsia" w:hAnsiTheme="minorEastAsia"/>
          <w:sz w:val="24"/>
        </w:rPr>
        <w:t>10</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"_Toc497922132" </w:instrText>
      </w:r>
      <w:r>
        <w:fldChar w:fldCharType="separate"/>
      </w:r>
      <w:r>
        <w:rPr>
          <w:rStyle w:val="8"/>
          <w:rFonts w:cs="仿宋" w:asciiTheme="minorEastAsia" w:hAnsiTheme="minorEastAsia"/>
          <w:sz w:val="24"/>
        </w:rPr>
        <w:t xml:space="preserve">2.1 </w:t>
      </w:r>
      <w:r>
        <w:rPr>
          <w:rStyle w:val="8"/>
          <w:rFonts w:hint="eastAsia" w:cs="仿宋" w:asciiTheme="minorEastAsia" w:hAnsiTheme="minorEastAsia"/>
          <w:sz w:val="24"/>
        </w:rPr>
        <w:t>标准编制原则</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_Toc497922132 \h </w:instrText>
      </w:r>
      <w:r>
        <w:rPr>
          <w:rFonts w:asciiTheme="minorEastAsia" w:hAnsiTheme="minorEastAsia"/>
          <w:sz w:val="24"/>
        </w:rPr>
        <w:fldChar w:fldCharType="separate"/>
      </w:r>
      <w:r>
        <w:rPr>
          <w:rFonts w:asciiTheme="minorEastAsia" w:hAnsiTheme="minorEastAsia"/>
          <w:sz w:val="24"/>
        </w:rPr>
        <w:t>10</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"_Toc497922133" </w:instrText>
      </w:r>
      <w:r>
        <w:fldChar w:fldCharType="separate"/>
      </w:r>
      <w:r>
        <w:rPr>
          <w:rStyle w:val="8"/>
          <w:rFonts w:cs="仿宋" w:asciiTheme="minorEastAsia" w:hAnsiTheme="minorEastAsia"/>
          <w:sz w:val="24"/>
        </w:rPr>
        <w:t xml:space="preserve">2.2 </w:t>
      </w:r>
      <w:r>
        <w:rPr>
          <w:rStyle w:val="8"/>
          <w:rFonts w:hint="eastAsia" w:cs="仿宋" w:asciiTheme="minorEastAsia" w:hAnsiTheme="minorEastAsia"/>
          <w:sz w:val="24"/>
        </w:rPr>
        <w:t>确定标准主要内容的论据</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_Toc497922133 \h </w:instrText>
      </w:r>
      <w:r>
        <w:rPr>
          <w:rFonts w:asciiTheme="minorEastAsia" w:hAnsiTheme="minorEastAsia"/>
          <w:sz w:val="24"/>
        </w:rPr>
        <w:fldChar w:fldCharType="separate"/>
      </w:r>
      <w:r>
        <w:rPr>
          <w:rFonts w:asciiTheme="minorEastAsia" w:hAnsiTheme="minorEastAsia"/>
          <w:sz w:val="24"/>
        </w:rPr>
        <w:t>10</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"_Toc497922134" </w:instrText>
      </w:r>
      <w:r>
        <w:fldChar w:fldCharType="separate"/>
      </w:r>
      <w:r>
        <w:rPr>
          <w:rStyle w:val="8"/>
          <w:rFonts w:cs="黑体" w:asciiTheme="minorEastAsia" w:hAnsiTheme="minorEastAsia"/>
          <w:bCs/>
          <w:sz w:val="24"/>
        </w:rPr>
        <w:t xml:space="preserve">3 </w:t>
      </w:r>
      <w:r>
        <w:rPr>
          <w:rStyle w:val="8"/>
          <w:rFonts w:hint="eastAsia" w:cs="黑体" w:asciiTheme="minorEastAsia" w:hAnsiTheme="minorEastAsia"/>
          <w:bCs/>
          <w:sz w:val="24"/>
        </w:rPr>
        <w:t>主要内容的分析与综合报告，技术论证，预期效果</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_Toc497922134 \h </w:instrText>
      </w:r>
      <w:r>
        <w:rPr>
          <w:rFonts w:asciiTheme="minorEastAsia" w:hAnsiTheme="minorEastAsia"/>
          <w:sz w:val="24"/>
        </w:rPr>
        <w:fldChar w:fldCharType="separate"/>
      </w:r>
      <w:r>
        <w:rPr>
          <w:rFonts w:asciiTheme="minorEastAsia" w:hAnsiTheme="minorEastAsia"/>
          <w:sz w:val="24"/>
        </w:rPr>
        <w:t>11</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"_Toc497922135" </w:instrText>
      </w:r>
      <w:r>
        <w:fldChar w:fldCharType="separate"/>
      </w:r>
      <w:r>
        <w:rPr>
          <w:rStyle w:val="8"/>
          <w:rFonts w:cs="黑体" w:asciiTheme="minorEastAsia" w:hAnsiTheme="minorEastAsia"/>
          <w:bCs/>
          <w:sz w:val="24"/>
        </w:rPr>
        <w:t xml:space="preserve">4 </w:t>
      </w:r>
      <w:r>
        <w:rPr>
          <w:rStyle w:val="8"/>
          <w:rFonts w:hint="eastAsia" w:cs="黑体" w:asciiTheme="minorEastAsia" w:hAnsiTheme="minorEastAsia"/>
          <w:bCs/>
          <w:sz w:val="24"/>
        </w:rPr>
        <w:t>与有关的现行法律、法规和强制性标准的关系</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_Toc497922135 \h </w:instrText>
      </w:r>
      <w:r>
        <w:rPr>
          <w:rFonts w:asciiTheme="minorEastAsia" w:hAnsiTheme="minorEastAsia"/>
          <w:sz w:val="24"/>
        </w:rPr>
        <w:fldChar w:fldCharType="separate"/>
      </w:r>
      <w:r>
        <w:rPr>
          <w:rFonts w:asciiTheme="minorEastAsia" w:hAnsiTheme="minorEastAsia"/>
          <w:sz w:val="24"/>
        </w:rPr>
        <w:t>11</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"_Toc497922136" </w:instrText>
      </w:r>
      <w:r>
        <w:fldChar w:fldCharType="separate"/>
      </w:r>
      <w:r>
        <w:rPr>
          <w:rStyle w:val="8"/>
          <w:rFonts w:cs="黑体" w:asciiTheme="minorEastAsia" w:hAnsiTheme="minorEastAsia"/>
          <w:bCs/>
          <w:sz w:val="24"/>
        </w:rPr>
        <w:t xml:space="preserve">5 </w:t>
      </w:r>
      <w:r>
        <w:rPr>
          <w:rStyle w:val="8"/>
          <w:rFonts w:hint="eastAsia" w:cs="黑体" w:asciiTheme="minorEastAsia" w:hAnsiTheme="minorEastAsia"/>
          <w:bCs/>
          <w:sz w:val="24"/>
        </w:rPr>
        <w:t>重大分歧意见的处理经过和依据</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_Toc497922136 \h </w:instrText>
      </w:r>
      <w:r>
        <w:rPr>
          <w:rFonts w:asciiTheme="minorEastAsia" w:hAnsiTheme="minorEastAsia"/>
          <w:sz w:val="24"/>
        </w:rPr>
        <w:fldChar w:fldCharType="separate"/>
      </w:r>
      <w:r>
        <w:rPr>
          <w:rFonts w:asciiTheme="minorEastAsia" w:hAnsiTheme="minorEastAsia"/>
          <w:sz w:val="24"/>
        </w:rPr>
        <w:t>11</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"_Toc497922137" </w:instrText>
      </w:r>
      <w:r>
        <w:fldChar w:fldCharType="separate"/>
      </w:r>
      <w:r>
        <w:rPr>
          <w:rStyle w:val="8"/>
          <w:rFonts w:cs="黑体" w:asciiTheme="minorEastAsia" w:hAnsiTheme="minorEastAsia"/>
          <w:bCs/>
          <w:sz w:val="24"/>
        </w:rPr>
        <w:t xml:space="preserve">6 </w:t>
      </w:r>
      <w:r>
        <w:rPr>
          <w:rStyle w:val="8"/>
          <w:rFonts w:hint="eastAsia" w:cs="黑体" w:asciiTheme="minorEastAsia" w:hAnsiTheme="minorEastAsia"/>
          <w:bCs/>
          <w:sz w:val="24"/>
        </w:rPr>
        <w:t>作为推荐性标准的建议</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_Toc497922137 \h </w:instrText>
      </w:r>
      <w:r>
        <w:rPr>
          <w:rFonts w:asciiTheme="minorEastAsia" w:hAnsiTheme="minorEastAsia"/>
          <w:sz w:val="24"/>
        </w:rPr>
        <w:fldChar w:fldCharType="separate"/>
      </w:r>
      <w:r>
        <w:rPr>
          <w:rFonts w:asciiTheme="minorEastAsia" w:hAnsiTheme="minorEastAsia"/>
          <w:sz w:val="24"/>
        </w:rPr>
        <w:t>11</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"_Toc497922138" </w:instrText>
      </w:r>
      <w:r>
        <w:fldChar w:fldCharType="separate"/>
      </w:r>
      <w:r>
        <w:rPr>
          <w:rStyle w:val="8"/>
          <w:rFonts w:cs="黑体" w:asciiTheme="minorEastAsia" w:hAnsiTheme="minorEastAsia"/>
          <w:bCs/>
          <w:sz w:val="24"/>
        </w:rPr>
        <w:t>7</w:t>
      </w:r>
      <w:r>
        <w:rPr>
          <w:rStyle w:val="8"/>
          <w:rFonts w:hint="eastAsia" w:cs="黑体" w:asciiTheme="minorEastAsia" w:hAnsiTheme="minorEastAsia"/>
          <w:bCs/>
          <w:sz w:val="24"/>
        </w:rPr>
        <w:t xml:space="preserve"> 贯彻标准的要求和措施建议</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_Toc497922138 \h </w:instrText>
      </w:r>
      <w:r>
        <w:rPr>
          <w:rFonts w:asciiTheme="minorEastAsia" w:hAnsiTheme="minorEastAsia"/>
          <w:sz w:val="24"/>
        </w:rPr>
        <w:fldChar w:fldCharType="separate"/>
      </w:r>
      <w:r>
        <w:rPr>
          <w:rFonts w:asciiTheme="minorEastAsia" w:hAnsiTheme="minorEastAsia"/>
          <w:sz w:val="24"/>
        </w:rPr>
        <w:t>11</w:t>
      </w:r>
      <w:r>
        <w:rPr>
          <w:rFonts w:asciiTheme="minorEastAsia" w:hAnsiTheme="minorEastAsia"/>
          <w:sz w:val="24"/>
        </w:rPr>
        <w:fldChar w:fldCharType="end"/>
      </w:r>
      <w:r>
        <w:rPr>
          <w:rFonts w:asciiTheme="minorEastAsia" w:hAnsiTheme="minorEastAsia"/>
          <w:sz w:val="24"/>
        </w:rPr>
        <w:fldChar w:fldCharType="end"/>
      </w:r>
    </w:p>
    <w:p>
      <w:pPr>
        <w:pStyle w:val="4"/>
        <w:tabs>
          <w:tab w:val="right" w:leader="dot" w:pos="8296"/>
        </w:tabs>
        <w:spacing w:line="360" w:lineRule="auto"/>
        <w:rPr>
          <w:rFonts w:asciiTheme="minorEastAsia" w:hAnsiTheme="minorEastAsia"/>
          <w:sz w:val="24"/>
        </w:rPr>
      </w:pPr>
      <w:r>
        <w:fldChar w:fldCharType="begin"/>
      </w:r>
      <w:r>
        <w:instrText xml:space="preserve"> HYPERLINK \l "_Toc497922139" </w:instrText>
      </w:r>
      <w:r>
        <w:fldChar w:fldCharType="separate"/>
      </w:r>
      <w:r>
        <w:rPr>
          <w:rStyle w:val="8"/>
          <w:rFonts w:hint="eastAsia" w:cs="仿宋" w:asciiTheme="minorEastAsia" w:hAnsiTheme="minorEastAsia"/>
          <w:sz w:val="24"/>
        </w:rPr>
        <w:t>附</w:t>
      </w:r>
      <w:r>
        <w:rPr>
          <w:rStyle w:val="8"/>
          <w:rFonts w:cs="仿宋" w:asciiTheme="minorEastAsia" w:hAnsiTheme="minorEastAsia"/>
          <w:sz w:val="24"/>
        </w:rPr>
        <w:t xml:space="preserve">  </w:t>
      </w:r>
      <w:r>
        <w:rPr>
          <w:rStyle w:val="8"/>
          <w:rFonts w:hint="eastAsia" w:cs="仿宋" w:asciiTheme="minorEastAsia" w:hAnsiTheme="minorEastAsia"/>
          <w:sz w:val="24"/>
        </w:rPr>
        <w:t>件</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_Toc497922139 \h </w:instrText>
      </w:r>
      <w:r>
        <w:rPr>
          <w:rFonts w:asciiTheme="minorEastAsia" w:hAnsiTheme="minorEastAsia"/>
          <w:sz w:val="24"/>
        </w:rPr>
        <w:fldChar w:fldCharType="separate"/>
      </w:r>
      <w:r>
        <w:rPr>
          <w:rFonts w:asciiTheme="minorEastAsia" w:hAnsiTheme="minorEastAsia"/>
          <w:sz w:val="24"/>
        </w:rPr>
        <w:t>12</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"_Toc497922140" </w:instrText>
      </w:r>
      <w:r>
        <w:fldChar w:fldCharType="separate"/>
      </w:r>
      <w:r>
        <w:rPr>
          <w:rStyle w:val="8"/>
          <w:rFonts w:cs="仿宋" w:asciiTheme="minorEastAsia" w:hAnsiTheme="minorEastAsia"/>
          <w:sz w:val="24"/>
        </w:rPr>
        <w:t xml:space="preserve">1 </w:t>
      </w:r>
      <w:r>
        <w:rPr>
          <w:rStyle w:val="8"/>
          <w:rFonts w:hint="eastAsia" w:cs="仿宋" w:asciiTheme="minorEastAsia" w:hAnsiTheme="minorEastAsia"/>
          <w:sz w:val="24"/>
        </w:rPr>
        <w:t>问卷报告</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_Toc497922140 \h </w:instrText>
      </w:r>
      <w:r>
        <w:rPr>
          <w:rFonts w:asciiTheme="minorEastAsia" w:hAnsiTheme="minorEastAsia"/>
          <w:sz w:val="24"/>
        </w:rPr>
        <w:fldChar w:fldCharType="separate"/>
      </w:r>
      <w:r>
        <w:rPr>
          <w:rFonts w:asciiTheme="minorEastAsia" w:hAnsiTheme="minorEastAsia"/>
          <w:sz w:val="24"/>
        </w:rPr>
        <w:t>12</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"_Toc497922141" </w:instrText>
      </w:r>
      <w:r>
        <w:fldChar w:fldCharType="separate"/>
      </w:r>
      <w:r>
        <w:rPr>
          <w:rStyle w:val="8"/>
          <w:rFonts w:cs="仿宋" w:asciiTheme="minorEastAsia" w:hAnsiTheme="minorEastAsia"/>
          <w:sz w:val="24"/>
        </w:rPr>
        <w:t xml:space="preserve">2 </w:t>
      </w:r>
      <w:r>
        <w:rPr>
          <w:rStyle w:val="8"/>
          <w:rFonts w:hint="eastAsia" w:cs="仿宋" w:asciiTheme="minorEastAsia" w:hAnsiTheme="minorEastAsia"/>
          <w:sz w:val="24"/>
        </w:rPr>
        <w:t>会议纪要</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_Toc497922141 \h </w:instrText>
      </w:r>
      <w:r>
        <w:rPr>
          <w:rFonts w:asciiTheme="minorEastAsia" w:hAnsiTheme="minorEastAsia"/>
          <w:sz w:val="24"/>
        </w:rPr>
        <w:fldChar w:fldCharType="separate"/>
      </w:r>
      <w:r>
        <w:rPr>
          <w:rFonts w:asciiTheme="minorEastAsia" w:hAnsiTheme="minorEastAsia"/>
          <w:sz w:val="24"/>
        </w:rPr>
        <w:t>19</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"_Toc497922142" </w:instrText>
      </w:r>
      <w:r>
        <w:fldChar w:fldCharType="separate"/>
      </w:r>
      <w:r>
        <w:rPr>
          <w:rStyle w:val="8"/>
          <w:rFonts w:cs="仿宋" w:asciiTheme="minorEastAsia" w:hAnsiTheme="minorEastAsia"/>
          <w:sz w:val="24"/>
        </w:rPr>
        <w:t xml:space="preserve">3 </w:t>
      </w:r>
      <w:r>
        <w:rPr>
          <w:rStyle w:val="8"/>
          <w:rFonts w:hint="eastAsia" w:cs="仿宋" w:asciiTheme="minorEastAsia" w:hAnsiTheme="minorEastAsia"/>
          <w:sz w:val="24"/>
        </w:rPr>
        <w:t>征求意见总结</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_Toc497922142 \h </w:instrText>
      </w:r>
      <w:r>
        <w:rPr>
          <w:rFonts w:asciiTheme="minorEastAsia" w:hAnsiTheme="minorEastAsia"/>
          <w:sz w:val="24"/>
        </w:rPr>
        <w:fldChar w:fldCharType="separate"/>
      </w:r>
      <w:r>
        <w:rPr>
          <w:rFonts w:asciiTheme="minorEastAsia" w:hAnsiTheme="minorEastAsia"/>
          <w:sz w:val="24"/>
        </w:rPr>
        <w:t>23</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"_Toc497922143" </w:instrText>
      </w:r>
      <w:r>
        <w:fldChar w:fldCharType="separate"/>
      </w:r>
      <w:r>
        <w:rPr>
          <w:rStyle w:val="8"/>
          <w:rFonts w:cs="仿宋" w:asciiTheme="minorEastAsia" w:hAnsiTheme="minorEastAsia"/>
          <w:sz w:val="24"/>
        </w:rPr>
        <w:t xml:space="preserve">4 </w:t>
      </w:r>
      <w:r>
        <w:rPr>
          <w:rStyle w:val="8"/>
          <w:rFonts w:hint="eastAsia" w:cs="仿宋" w:asciiTheme="minorEastAsia" w:hAnsiTheme="minorEastAsia"/>
          <w:sz w:val="24"/>
        </w:rPr>
        <w:t>评价总结</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_Toc497922143 \h </w:instrText>
      </w:r>
      <w:r>
        <w:rPr>
          <w:rFonts w:asciiTheme="minorEastAsia" w:hAnsiTheme="minorEastAsia"/>
          <w:sz w:val="24"/>
        </w:rPr>
        <w:fldChar w:fldCharType="separate"/>
      </w:r>
      <w:r>
        <w:rPr>
          <w:rFonts w:asciiTheme="minorEastAsia" w:hAnsiTheme="minorEastAsia"/>
          <w:sz w:val="24"/>
        </w:rPr>
        <w:t>23</w:t>
      </w:r>
      <w:r>
        <w:rPr>
          <w:rFonts w:asciiTheme="minorEastAsia" w:hAnsiTheme="minorEastAsia"/>
          <w:sz w:val="24"/>
        </w:rPr>
        <w:fldChar w:fldCharType="end"/>
      </w:r>
      <w:r>
        <w:rPr>
          <w:rFonts w:asciiTheme="minorEastAsia" w:hAnsiTheme="minorEastAsia"/>
          <w:sz w:val="24"/>
        </w:rPr>
        <w:fldChar w:fldCharType="end"/>
      </w:r>
    </w:p>
    <w:p>
      <w:pPr>
        <w:pStyle w:val="5"/>
        <w:tabs>
          <w:tab w:val="right" w:leader="dot" w:pos="8296"/>
        </w:tabs>
        <w:spacing w:line="360" w:lineRule="auto"/>
        <w:rPr>
          <w:rFonts w:asciiTheme="minorEastAsia" w:hAnsiTheme="minorEastAsia"/>
          <w:sz w:val="24"/>
        </w:rPr>
      </w:pPr>
      <w:r>
        <w:fldChar w:fldCharType="begin"/>
      </w:r>
      <w:r>
        <w:instrText xml:space="preserve"> HYPERLINK \l "_Toc497922144" </w:instrText>
      </w:r>
      <w:r>
        <w:fldChar w:fldCharType="separate"/>
      </w:r>
      <w:r>
        <w:rPr>
          <w:rStyle w:val="8"/>
          <w:rFonts w:cs="仿宋" w:asciiTheme="minorEastAsia" w:hAnsiTheme="minorEastAsia"/>
          <w:sz w:val="24"/>
        </w:rPr>
        <w:t xml:space="preserve">5 </w:t>
      </w:r>
      <w:r>
        <w:rPr>
          <w:rStyle w:val="8"/>
          <w:rFonts w:hint="eastAsia" w:cs="仿宋" w:asciiTheme="minorEastAsia" w:hAnsiTheme="minorEastAsia"/>
          <w:sz w:val="24"/>
        </w:rPr>
        <w:t>专家指导组审核总结</w:t>
      </w:r>
      <w:r>
        <w:rPr>
          <w:rFonts w:asciiTheme="minorEastAsia" w:hAnsiTheme="minorEastAsia"/>
          <w:sz w:val="24"/>
        </w:rPr>
        <w:tab/>
      </w:r>
      <w:r>
        <w:rPr>
          <w:rFonts w:asciiTheme="minorEastAsia" w:hAnsiTheme="minorEastAsia"/>
          <w:sz w:val="24"/>
        </w:rPr>
        <w:fldChar w:fldCharType="begin"/>
      </w:r>
      <w:r>
        <w:rPr>
          <w:rFonts w:asciiTheme="minorEastAsia" w:hAnsiTheme="minorEastAsia"/>
          <w:sz w:val="24"/>
        </w:rPr>
        <w:instrText xml:space="preserve"> PAGEREF _Toc497922144 \h </w:instrText>
      </w:r>
      <w:r>
        <w:rPr>
          <w:rFonts w:asciiTheme="minorEastAsia" w:hAnsiTheme="minorEastAsia"/>
          <w:sz w:val="24"/>
        </w:rPr>
        <w:fldChar w:fldCharType="separate"/>
      </w:r>
      <w:r>
        <w:rPr>
          <w:rFonts w:asciiTheme="minorEastAsia" w:hAnsiTheme="minorEastAsia"/>
          <w:sz w:val="24"/>
        </w:rPr>
        <w:t>25</w:t>
      </w:r>
      <w:r>
        <w:rPr>
          <w:rFonts w:asciiTheme="minorEastAsia" w:hAnsiTheme="minorEastAsia"/>
          <w:sz w:val="24"/>
        </w:rPr>
        <w:fldChar w:fldCharType="end"/>
      </w:r>
      <w:r>
        <w:rPr>
          <w:rFonts w:asciiTheme="minorEastAsia" w:hAnsiTheme="minorEastAsia"/>
          <w:sz w:val="24"/>
        </w:rPr>
        <w:fldChar w:fldCharType="end"/>
      </w:r>
    </w:p>
    <w:p>
      <w:pPr>
        <w:spacing w:line="360" w:lineRule="auto"/>
        <w:jc w:val="center"/>
        <w:rPr>
          <w:rFonts w:asciiTheme="minorEastAsia" w:hAnsiTheme="minorEastAsia" w:cstheme="minorEastAsia"/>
          <w:sz w:val="24"/>
        </w:rPr>
      </w:pPr>
      <w:r>
        <w:rPr>
          <w:rFonts w:asciiTheme="minorEastAsia" w:hAnsiTheme="minorEastAsia" w:cstheme="minorEastAsia"/>
          <w:sz w:val="24"/>
        </w:rPr>
        <w:fldChar w:fldCharType="end"/>
      </w:r>
    </w:p>
    <w:p>
      <w:pPr>
        <w:widowControl/>
        <w:jc w:val="left"/>
        <w:rPr>
          <w:rFonts w:asciiTheme="minorEastAsia" w:hAnsiTheme="minorEastAsia" w:cstheme="minorEastAsia"/>
          <w:sz w:val="24"/>
        </w:rPr>
      </w:pPr>
      <w:bookmarkStart w:id="0" w:name="_Toc26554"/>
      <w:r>
        <w:rPr>
          <w:rFonts w:asciiTheme="minorEastAsia" w:hAnsiTheme="minorEastAsia" w:cstheme="minorEastAsia"/>
          <w:sz w:val="24"/>
        </w:rPr>
        <w:br w:type="page"/>
      </w:r>
    </w:p>
    <w:p>
      <w:pPr>
        <w:widowControl/>
        <w:jc w:val="left"/>
        <w:rPr>
          <w:rFonts w:asciiTheme="minorEastAsia" w:hAnsiTheme="minorEastAsia" w:cstheme="minorEastAsia"/>
          <w:sz w:val="24"/>
        </w:rPr>
      </w:pPr>
      <w:r>
        <w:rPr>
          <w:rFonts w:hint="eastAsia" w:asciiTheme="minorEastAsia" w:hAnsiTheme="minorEastAsia" w:cstheme="minorEastAsia"/>
          <w:sz w:val="24"/>
        </w:rPr>
        <w:br w:type="page"/>
      </w:r>
    </w:p>
    <w:p>
      <w:pPr>
        <w:outlineLvl w:val="0"/>
        <w:rPr>
          <w:rFonts w:ascii="黑体" w:hAnsi="黑体" w:eastAsia="黑体" w:cs="黑体"/>
          <w:bCs/>
          <w:sz w:val="32"/>
          <w:szCs w:val="32"/>
        </w:rPr>
      </w:pPr>
      <w:bookmarkStart w:id="1" w:name="_Toc497922126"/>
      <w:r>
        <w:rPr>
          <w:rFonts w:hint="eastAsia" w:ascii="黑体" w:hAnsi="黑体" w:eastAsia="黑体" w:cs="黑体"/>
          <w:bCs/>
          <w:sz w:val="32"/>
          <w:szCs w:val="32"/>
        </w:rPr>
        <w:t>1 工作简况</w:t>
      </w:r>
      <w:bookmarkEnd w:id="0"/>
      <w:bookmarkEnd w:id="1"/>
    </w:p>
    <w:p>
      <w:pPr>
        <w:outlineLvl w:val="1"/>
        <w:rPr>
          <w:rFonts w:ascii="仿宋" w:hAnsi="仿宋" w:eastAsia="仿宋" w:cs="仿宋"/>
          <w:b/>
          <w:sz w:val="32"/>
          <w:szCs w:val="32"/>
        </w:rPr>
      </w:pPr>
      <w:bookmarkStart w:id="2" w:name="_Toc11424"/>
      <w:bookmarkStart w:id="3" w:name="_Toc497922127"/>
      <w:r>
        <w:rPr>
          <w:rFonts w:hint="eastAsia" w:ascii="仿宋" w:hAnsi="仿宋" w:eastAsia="仿宋" w:cs="仿宋"/>
          <w:b/>
          <w:sz w:val="32"/>
          <w:szCs w:val="32"/>
        </w:rPr>
        <w:t>1.1 任务来源</w:t>
      </w:r>
      <w:bookmarkEnd w:id="2"/>
      <w:bookmarkEnd w:id="3"/>
    </w:p>
    <w:p>
      <w:pPr>
        <w:ind w:firstLine="600" w:firstLineChars="200"/>
        <w:jc w:val="left"/>
        <w:rPr>
          <w:rFonts w:ascii="仿宋" w:hAnsi="仿宋" w:eastAsia="仿宋" w:cs="仿宋"/>
          <w:bCs/>
          <w:color w:val="000000" w:themeColor="text1"/>
          <w:sz w:val="30"/>
          <w:szCs w:val="30"/>
        </w:rPr>
      </w:pPr>
      <w:r>
        <w:rPr>
          <w:rFonts w:hint="eastAsia" w:ascii="仿宋" w:hAnsi="仿宋" w:eastAsia="仿宋" w:cs="仿宋"/>
          <w:bCs/>
          <w:color w:val="000000" w:themeColor="text1"/>
          <w:sz w:val="30"/>
          <w:szCs w:val="30"/>
        </w:rPr>
        <w:t>为指导中医临床医师规范地诊断、辨治登革热，提高中医辨证论治的临床疗效，广东省中医院承担了《登革热中医临床诊疗指南》的制定工作。本指南由国家中医药管理局立项的《2014年中医药部门公共卫生服务补助基资金中医药标准制修订项目》资助，归口于中华中医药学会，在中医临床指南制定专家总指导组和内科专家指导组的指导、监督下实施，于2017年3月起草完成。指南制定过程与任何单位、个人无经济利益关系。</w:t>
      </w:r>
    </w:p>
    <w:p>
      <w:pPr>
        <w:outlineLvl w:val="1"/>
        <w:rPr>
          <w:rFonts w:ascii="仿宋" w:hAnsi="仿宋" w:eastAsia="仿宋" w:cs="仿宋"/>
          <w:b/>
          <w:sz w:val="32"/>
          <w:szCs w:val="32"/>
        </w:rPr>
      </w:pPr>
      <w:bookmarkStart w:id="4" w:name="_Toc22282"/>
      <w:bookmarkStart w:id="5" w:name="_Toc497922128"/>
      <w:r>
        <w:rPr>
          <w:rFonts w:hint="eastAsia" w:ascii="仿宋" w:hAnsi="仿宋" w:eastAsia="仿宋" w:cs="仿宋"/>
          <w:b/>
          <w:sz w:val="32"/>
          <w:szCs w:val="32"/>
        </w:rPr>
        <w:t>1.2 协作单位</w:t>
      </w:r>
      <w:bookmarkEnd w:id="4"/>
      <w:bookmarkEnd w:id="5"/>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北京市中医院、广州中医药大学第一附属医院、广东省第二中医院、广州市第八人民医院、海南省中医院、福建中医药大学附属人民医院、云南省中医院、广西中医药大学第一附属医院、浙江中医药大学附属第一医院、深圳市中医院、佛山市中医院、中山市中医院、珠海市中医院共13家协作单位。</w:t>
      </w:r>
    </w:p>
    <w:p>
      <w:pPr>
        <w:outlineLvl w:val="1"/>
        <w:rPr>
          <w:rFonts w:ascii="仿宋" w:hAnsi="仿宋" w:eastAsia="仿宋" w:cs="仿宋"/>
          <w:b/>
          <w:sz w:val="32"/>
          <w:szCs w:val="32"/>
        </w:rPr>
      </w:pPr>
      <w:bookmarkStart w:id="6" w:name="_Toc497922129"/>
      <w:bookmarkStart w:id="7" w:name="_Toc29032"/>
      <w:r>
        <w:rPr>
          <w:rFonts w:hint="eastAsia" w:ascii="仿宋" w:hAnsi="仿宋" w:eastAsia="仿宋" w:cs="仿宋"/>
          <w:b/>
          <w:sz w:val="32"/>
          <w:szCs w:val="32"/>
        </w:rPr>
        <w:t>1.3 主要工作过程</w:t>
      </w:r>
      <w:bookmarkEnd w:id="6"/>
      <w:bookmarkEnd w:id="7"/>
    </w:p>
    <w:p>
      <w:pPr>
        <w:ind w:firstLine="420"/>
        <w:jc w:val="left"/>
        <w:outlineLvl w:val="2"/>
        <w:rPr>
          <w:rFonts w:ascii="仿宋" w:hAnsi="仿宋" w:eastAsia="仿宋" w:cs="仿宋"/>
          <w:sz w:val="30"/>
          <w:szCs w:val="30"/>
        </w:rPr>
      </w:pPr>
      <w:r>
        <w:rPr>
          <w:rFonts w:hint="eastAsia" w:ascii="仿宋" w:hAnsi="仿宋" w:eastAsia="仿宋" w:cs="仿宋"/>
          <w:sz w:val="30"/>
          <w:szCs w:val="30"/>
        </w:rPr>
        <w:t>（1）指南开发小组的建立</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这一阶段于2015年2月由广东省中医院张忠德教授牵头，由广东省中医院及上述13家协作单位组成《登革热》指南课题组成员，其中广东省中医院张忠德教授，北京市中医医院刘清泉教授任课题组组长。并成立秘书组负责各单位的联络工作以及课题组织工作，文献组负责文献收集及评价工作。</w:t>
      </w:r>
    </w:p>
    <w:p>
      <w:pPr>
        <w:jc w:val="center"/>
        <w:rPr>
          <w:rFonts w:ascii="仿宋" w:hAnsi="仿宋" w:eastAsia="仿宋" w:cs="仿宋"/>
          <w:bCs/>
          <w:sz w:val="28"/>
          <w:szCs w:val="28"/>
        </w:rPr>
      </w:pPr>
      <w:r>
        <w:rPr>
          <w:rFonts w:hint="eastAsia" w:ascii="仿宋" w:hAnsi="仿宋" w:eastAsia="仿宋" w:cs="仿宋"/>
          <w:bCs/>
          <w:sz w:val="28"/>
          <w:szCs w:val="28"/>
        </w:rPr>
        <w:t>登革热课题组构成</w:t>
      </w:r>
    </w:p>
    <w:p>
      <w:pPr>
        <w:jc w:val="center"/>
      </w:pPr>
      <w:r>
        <w:rPr>
          <w:rFonts w:ascii="宋体" w:hAnsi="宋体" w:eastAsia="宋体" w:cs="宋体"/>
          <w:kern w:val="0"/>
          <w:sz w:val="24"/>
        </w:rPr>
        <w:fldChar w:fldCharType="begin"/>
      </w:r>
      <w:r>
        <w:rPr>
          <w:rFonts w:ascii="宋体" w:hAnsi="宋体" w:eastAsia="宋体" w:cs="宋体"/>
          <w:kern w:val="0"/>
          <w:sz w:val="24"/>
        </w:rPr>
        <w:instrText xml:space="preserve">INCLUDEPICTURE \d "C:\\Users\\yu\\AppData\\Roaming\\Tencent\\Users\\315526045\\QQ\\WinTemp\\RichOle\\HRLFPZ{J2D})(1CN6_701[U.png" \* MERGEFORMATINET </w:instrText>
      </w:r>
      <w:r>
        <w:rPr>
          <w:rFonts w:ascii="宋体" w:hAnsi="宋体" w:eastAsia="宋体" w:cs="宋体"/>
          <w:kern w:val="0"/>
          <w:sz w:val="24"/>
        </w:rPr>
        <w:fldChar w:fldCharType="separate"/>
      </w:r>
      <w:r>
        <w:rPr>
          <w:rFonts w:ascii="宋体" w:hAnsi="宋体" w:eastAsia="宋体" w:cs="宋体"/>
          <w:kern w:val="0"/>
          <w:sz w:val="24"/>
        </w:rPr>
        <w:drawing>
          <wp:inline distT="0" distB="0" distL="114300" distR="114300">
            <wp:extent cx="4925060" cy="2265680"/>
            <wp:effectExtent l="0" t="0" r="8890" b="1270"/>
            <wp:docPr id="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56"/>
                    <pic:cNvPicPr>
                      <a:picLocks noChangeAspect="1"/>
                    </pic:cNvPicPr>
                  </pic:nvPicPr>
                  <pic:blipFill>
                    <a:blip r:embed="rId4" cstate="print"/>
                    <a:stretch>
                      <a:fillRect/>
                    </a:stretch>
                  </pic:blipFill>
                  <pic:spPr>
                    <a:xfrm>
                      <a:off x="0" y="0"/>
                      <a:ext cx="4925060" cy="2265680"/>
                    </a:xfrm>
                    <a:prstGeom prst="rect">
                      <a:avLst/>
                    </a:prstGeom>
                    <a:noFill/>
                    <a:ln w="9525">
                      <a:noFill/>
                    </a:ln>
                  </pic:spPr>
                </pic:pic>
              </a:graphicData>
            </a:graphic>
          </wp:inline>
        </w:drawing>
      </w:r>
      <w:r>
        <w:rPr>
          <w:rFonts w:ascii="宋体" w:hAnsi="宋体" w:eastAsia="宋体" w:cs="宋体"/>
          <w:kern w:val="0"/>
          <w:sz w:val="24"/>
        </w:rPr>
        <w:fldChar w:fldCharType="end"/>
      </w:r>
    </w:p>
    <w:p>
      <w:pPr>
        <w:numPr>
          <w:ilvl w:val="0"/>
          <w:numId w:val="1"/>
        </w:numPr>
        <w:ind w:firstLine="420"/>
        <w:jc w:val="left"/>
        <w:outlineLvl w:val="2"/>
        <w:rPr>
          <w:rFonts w:hint="eastAsia" w:ascii="仿宋" w:hAnsi="仿宋" w:eastAsia="仿宋" w:cs="仿宋"/>
          <w:sz w:val="30"/>
          <w:szCs w:val="30"/>
          <w:lang w:eastAsia="zh-CN"/>
        </w:rPr>
      </w:pPr>
      <w:r>
        <w:rPr>
          <w:rFonts w:hint="eastAsia" w:ascii="仿宋" w:hAnsi="仿宋" w:eastAsia="仿宋" w:cs="仿宋"/>
          <w:sz w:val="30"/>
          <w:szCs w:val="30"/>
          <w:lang w:eastAsia="zh-CN"/>
        </w:rPr>
        <w:t>文献检索、评价和初稿的形成</w:t>
      </w:r>
    </w:p>
    <w:p>
      <w:pPr>
        <w:ind w:firstLine="600" w:firstLineChars="200"/>
        <w:jc w:val="left"/>
        <w:rPr>
          <w:rFonts w:hint="eastAsia" w:ascii="仿宋" w:hAnsi="仿宋" w:eastAsia="仿宋" w:cs="仿宋"/>
          <w:sz w:val="30"/>
          <w:szCs w:val="30"/>
          <w:lang w:eastAsia="zh-CN"/>
        </w:rPr>
      </w:pPr>
      <w:r>
        <w:rPr>
          <w:rFonts w:hint="eastAsia" w:ascii="仿宋" w:hAnsi="仿宋" w:eastAsia="仿宋" w:cs="仿宋"/>
          <w:bCs/>
          <w:color w:val="000000" w:themeColor="text1"/>
          <w:sz w:val="30"/>
          <w:szCs w:val="30"/>
          <w:lang w:eastAsia="zh-CN"/>
        </w:rPr>
        <w:t>文献检索评价</w:t>
      </w:r>
      <w:r>
        <w:rPr>
          <w:rFonts w:hint="eastAsia" w:ascii="仿宋" w:hAnsi="仿宋" w:eastAsia="仿宋" w:cs="仿宋"/>
          <w:bCs/>
          <w:color w:val="000000" w:themeColor="text1"/>
          <w:sz w:val="30"/>
          <w:szCs w:val="30"/>
        </w:rPr>
        <w:t>于2015年3月至2015年</w:t>
      </w:r>
      <w:r>
        <w:rPr>
          <w:rFonts w:hint="eastAsia" w:ascii="仿宋" w:hAnsi="仿宋" w:eastAsia="仿宋" w:cs="仿宋"/>
          <w:bCs/>
          <w:color w:val="000000" w:themeColor="text1"/>
          <w:sz w:val="30"/>
          <w:szCs w:val="30"/>
          <w:lang w:val="en-US" w:eastAsia="zh-CN"/>
        </w:rPr>
        <w:t>6</w:t>
      </w:r>
      <w:r>
        <w:rPr>
          <w:rFonts w:hint="eastAsia" w:ascii="仿宋" w:hAnsi="仿宋" w:eastAsia="仿宋" w:cs="仿宋"/>
          <w:bCs/>
          <w:color w:val="000000" w:themeColor="text1"/>
          <w:sz w:val="30"/>
          <w:szCs w:val="30"/>
        </w:rPr>
        <w:t>月进行</w:t>
      </w:r>
      <w:r>
        <w:rPr>
          <w:rFonts w:hint="eastAsia" w:ascii="仿宋" w:hAnsi="仿宋" w:eastAsia="仿宋" w:cs="仿宋"/>
          <w:bCs/>
          <w:color w:val="000000" w:themeColor="text1"/>
          <w:sz w:val="30"/>
          <w:szCs w:val="30"/>
          <w:lang w:eastAsia="zh-CN"/>
        </w:rPr>
        <w:t>；指南初稿的起草于</w:t>
      </w:r>
      <w:r>
        <w:rPr>
          <w:rFonts w:hint="eastAsia" w:ascii="仿宋" w:hAnsi="仿宋" w:eastAsia="仿宋" w:cs="仿宋"/>
          <w:bCs/>
          <w:color w:val="000000" w:themeColor="text1"/>
          <w:sz w:val="30"/>
          <w:szCs w:val="30"/>
          <w:lang w:val="en-US" w:eastAsia="zh-CN"/>
        </w:rPr>
        <w:t>2015年6月至2015年7月进行。</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确定检索数据库。英文：pubmed、embase（Embase 1988 to 2015 Week 29）、cochrane library；中文：中国期刊全文数据库、万方数据库、维普、中国生物医学文献数据库（其中中国生物医学文献数据库选用广东省中医院内网，余选用官方网站）；古籍：中华医典。检索时限均从建库至2015年5月。根据不同的检索平台制定不同的检索策略。</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确立检索词。根据PICO原则、初步的文献阅读及专家咨询，确定检索词，采取主题词与自由词相结合方式。咨询登革热指南组专家共17位，发放调查问卷17份，收回15份，回收率达88%，专家积极性好。中文数据库检索词：主题词：登革热、登革出血热；自由词：登革休克综合征、重症登革热、隐性感染、登革热“脑”型、登革热疫；中医疗法：中医、中西医、证候、辨证论治、辨证施治、中药、草药、中成药、注射液、针灸、穴位、艾灸、理疗、推拿、按摩；古籍： 检索词：俗称（天狗热、断骨热（《温病学》））、瘟疫、伏温、暑热疫、暑燥疫、暑温（疫）、伏暑、湿热疫、暑湿挟疫、疫疹、湿温（疫）、热疫、暑湿疫做为检索词；英文检索词：Medicine， Chinese Traditional、Drugs， Chinese Herbal、Acupuncture、Acupuncture Therapy/Massage Traditional Chinese Medicine 、dengue 、Severe Dengues、Dengue Shock 、Syndrome 、Hemorrhagic Dengue 、Hemorrhagic Dengues 、Dengue Hemorrhagic Fever。</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制定各数据库相应的检索式。</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筛选文献</w:t>
      </w:r>
      <w:r>
        <w:rPr>
          <w:rFonts w:hint="eastAsia" w:ascii="仿宋" w:hAnsi="仿宋" w:eastAsia="仿宋" w:cs="仿宋"/>
          <w:bCs/>
          <w:sz w:val="30"/>
          <w:szCs w:val="30"/>
          <w:lang w:eastAsia="zh-CN"/>
        </w:rPr>
        <w:t>：</w:t>
      </w:r>
      <w:r>
        <w:rPr>
          <w:rFonts w:hint="eastAsia" w:ascii="仿宋" w:hAnsi="仿宋" w:eastAsia="仿宋" w:cs="仿宋"/>
          <w:bCs/>
          <w:sz w:val="30"/>
          <w:szCs w:val="30"/>
        </w:rPr>
        <w:t>中文文献，去除掉作者及内容基本相同的论文同时出现在会议论文和期刊论文及同时出现在两篇或两篇以上论文中，涉嫌抄袭、剽窃、重复发表等学术不端行为的文献，涉及自拟方的文献，引自非法期刊或内部文献而无法获取全文的文献。最后共筛选出文献78篇，其中仅5篇RCT，另纳入WHO及我国指南共3篇，手工检索共纳入10本书刊。古籍通过检索、人工阅读，剔除重复及内容一致的条文，最后纳入条文共11条。英文文献为0。</w:t>
      </w:r>
    </w:p>
    <w:p>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文献评价：制定</w:t>
      </w:r>
      <w:r>
        <w:rPr>
          <w:rFonts w:hint="eastAsia" w:ascii="仿宋" w:hAnsi="仿宋" w:eastAsia="仿宋" w:cs="仿宋"/>
          <w:sz w:val="30"/>
          <w:szCs w:val="30"/>
        </w:rPr>
        <w:t>文献纳入及排除标准</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对纳入的</w:t>
      </w:r>
      <w:r>
        <w:rPr>
          <w:rFonts w:hint="eastAsia" w:ascii="仿宋" w:hAnsi="仿宋" w:eastAsia="仿宋" w:cs="仿宋"/>
          <w:sz w:val="30"/>
          <w:szCs w:val="30"/>
          <w:highlight w:val="none"/>
          <w:lang w:val="en-US" w:eastAsia="zh-CN"/>
        </w:rPr>
        <w:t>78篇</w:t>
      </w:r>
      <w:r>
        <w:rPr>
          <w:rFonts w:hint="eastAsia" w:ascii="仿宋" w:hAnsi="仿宋" w:eastAsia="仿宋" w:cs="仿宋"/>
          <w:b w:val="0"/>
          <w:sz w:val="30"/>
          <w:szCs w:val="30"/>
          <w:lang w:eastAsia="zh-CN"/>
        </w:rPr>
        <w:t>文献</w:t>
      </w:r>
      <w:r>
        <w:rPr>
          <w:rFonts w:hint="eastAsia" w:ascii="仿宋" w:hAnsi="仿宋" w:eastAsia="仿宋" w:cs="仿宋"/>
          <w:b w:val="0"/>
          <w:sz w:val="30"/>
          <w:szCs w:val="30"/>
          <w:lang w:val="en-US" w:eastAsia="zh-CN"/>
        </w:rPr>
        <w:t>进行</w:t>
      </w:r>
      <w:r>
        <w:rPr>
          <w:rFonts w:hint="eastAsia" w:ascii="仿宋" w:hAnsi="仿宋" w:eastAsia="仿宋" w:cs="仿宋"/>
          <w:b w:val="0"/>
          <w:sz w:val="30"/>
          <w:szCs w:val="30"/>
          <w:lang w:eastAsia="zh-CN"/>
        </w:rPr>
        <w:t>质量评价。</w:t>
      </w:r>
      <w:r>
        <w:rPr>
          <w:rFonts w:hint="eastAsia" w:ascii="仿宋" w:hAnsi="仿宋" w:eastAsia="仿宋" w:cs="仿宋"/>
          <w:sz w:val="30"/>
          <w:szCs w:val="30"/>
        </w:rPr>
        <w:t>参考刘建平教授提出的传统医学证据体的构成及证据分级的建议</w:t>
      </w:r>
      <w:r>
        <w:rPr>
          <w:rFonts w:hint="eastAsia" w:ascii="仿宋" w:hAnsi="仿宋" w:eastAsia="仿宋" w:cs="仿宋"/>
          <w:sz w:val="30"/>
          <w:szCs w:val="30"/>
          <w:lang w:val="en-US" w:eastAsia="zh-CN"/>
        </w:rPr>
        <w:t>进行文献证据分级</w:t>
      </w:r>
      <w:r>
        <w:rPr>
          <w:rFonts w:hint="eastAsia" w:ascii="仿宋" w:hAnsi="仿宋" w:eastAsia="仿宋" w:cs="仿宋"/>
          <w:sz w:val="30"/>
          <w:szCs w:val="30"/>
        </w:rPr>
        <w:t>，参考美国国家临床指南交换所建议分级划分标准给出</w:t>
      </w:r>
      <w:r>
        <w:rPr>
          <w:rFonts w:hint="eastAsia" w:ascii="仿宋" w:hAnsi="仿宋" w:eastAsia="仿宋" w:cs="仿宋"/>
          <w:sz w:val="30"/>
          <w:szCs w:val="30"/>
          <w:lang w:val="en-US" w:eastAsia="zh-CN"/>
        </w:rPr>
        <w:t>证据</w:t>
      </w:r>
      <w:r>
        <w:rPr>
          <w:rFonts w:hint="eastAsia" w:ascii="仿宋" w:hAnsi="仿宋" w:eastAsia="仿宋" w:cs="仿宋"/>
          <w:sz w:val="30"/>
          <w:szCs w:val="30"/>
        </w:rPr>
        <w:t>推荐强度。</w:t>
      </w:r>
    </w:p>
    <w:p>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600" w:firstLineChars="200"/>
        <w:jc w:val="left"/>
        <w:textAlignment w:val="auto"/>
        <w:rPr>
          <w:rFonts w:hint="eastAsia" w:ascii="仿宋" w:hAnsi="仿宋" w:eastAsia="仿宋" w:cs="仿宋"/>
          <w:b w:val="0"/>
          <w:sz w:val="30"/>
          <w:szCs w:val="30"/>
          <w:lang w:eastAsia="zh-CN"/>
        </w:rPr>
      </w:pPr>
      <w:r>
        <w:rPr>
          <w:rFonts w:hint="eastAsia" w:ascii="仿宋" w:hAnsi="仿宋" w:eastAsia="仿宋" w:cs="仿宋"/>
          <w:sz w:val="30"/>
          <w:szCs w:val="30"/>
          <w:lang w:val="en-US" w:eastAsia="zh-CN"/>
        </w:rPr>
        <w:t>指南初稿起草：参照《中医病证临床实践指南（中医内科）》体例，由秘书组起草《登革热中医临床诊疗指南（初稿）》</w:t>
      </w:r>
      <w:r>
        <w:rPr>
          <w:rFonts w:hint="eastAsia" w:ascii="仿宋" w:hAnsi="仿宋" w:eastAsia="仿宋" w:cs="仿宋"/>
          <w:b w:val="0"/>
          <w:sz w:val="30"/>
          <w:szCs w:val="30"/>
          <w:lang w:eastAsia="zh-CN"/>
        </w:rPr>
        <w:t>。</w:t>
      </w:r>
    </w:p>
    <w:p>
      <w:pPr>
        <w:ind w:firstLine="600" w:firstLineChars="200"/>
        <w:jc w:val="left"/>
        <w:rPr>
          <w:rFonts w:ascii="仿宋" w:hAnsi="仿宋" w:eastAsia="仿宋" w:cs="仿宋"/>
          <w:bCs/>
          <w:sz w:val="30"/>
          <w:szCs w:val="30"/>
        </w:rPr>
      </w:pPr>
      <w:r>
        <w:rPr>
          <w:rFonts w:hint="eastAsia" w:ascii="仿宋" w:hAnsi="仿宋" w:eastAsia="仿宋" w:cs="仿宋"/>
          <w:bCs/>
          <w:sz w:val="30"/>
          <w:szCs w:val="30"/>
        </w:rPr>
        <w:t>在这一阶段，课题组成员在北京多次参加了国家中医药管理局组织的中医药标准化培训，对中医标准化工作有了更深的认识，对指南撰写的要求有了更深的了解，为指南制定的下一步工作提供了基础。</w:t>
      </w:r>
    </w:p>
    <w:p>
      <w:pPr>
        <w:numPr>
          <w:ilvl w:val="0"/>
          <w:numId w:val="0"/>
        </w:numPr>
        <w:spacing w:beforeLines="0" w:afterLines="0"/>
        <w:ind w:firstLine="420" w:firstLineChars="0"/>
        <w:jc w:val="left"/>
        <w:rPr>
          <w:rFonts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olor w:val="000000"/>
          <w:sz w:val="32"/>
          <w:lang w:val="en-US" w:eastAsia="zh-CN"/>
        </w:rPr>
        <w:t>专家意见征集及专家论证，形成草案</w:t>
      </w:r>
    </w:p>
    <w:p>
      <w:pPr>
        <w:numPr>
          <w:ilvl w:val="0"/>
          <w:numId w:val="0"/>
        </w:numPr>
        <w:spacing w:beforeLines="0" w:afterLines="0"/>
        <w:ind w:firstLine="600" w:firstLineChars="200"/>
        <w:jc w:val="left"/>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2015年8月7日，课题组在广州召开了《登革热中医临床诊疗指南（初稿）》专家论证会，就指南初稿形成过程及具体内容向13家单位的专家及方法学专家进行了汇报。各临床专家针对指南的整体框架、中医病名、中医辨证分型、辨证论治、推荐处方、用药剂量及中成药的合理应用等提出了宝贵的意见和建议；方法学专家就证据内容的描述及证据强度、推荐级别给予了规范。会后根据论证会专家意见和建议，工作组对各相关内容进行了补充和修正，形成指南草案。</w:t>
      </w:r>
    </w:p>
    <w:p>
      <w:pPr>
        <w:numPr>
          <w:ilvl w:val="0"/>
          <w:numId w:val="0"/>
        </w:numPr>
        <w:spacing w:beforeLines="0" w:afterLines="0"/>
        <w:ind w:firstLine="420" w:firstLineChars="0"/>
        <w:jc w:val="left"/>
        <w:rPr>
          <w:rFonts w:hint="eastAsia" w:ascii="仿宋." w:hAnsi="仿宋." w:eastAsia="仿宋."/>
          <w:color w:val="000000"/>
          <w:sz w:val="32"/>
          <w:lang w:val="en-US" w:eastAsia="zh-CN"/>
        </w:rPr>
      </w:pPr>
      <w:r>
        <w:rPr>
          <w:rFonts w:hint="eastAsia" w:ascii="仿宋" w:hAnsi="仿宋" w:eastAsia="仿宋" w:cs="仿宋"/>
          <w:sz w:val="30"/>
          <w:szCs w:val="30"/>
        </w:rPr>
        <w:t>（4）</w:t>
      </w:r>
      <w:r>
        <w:rPr>
          <w:rFonts w:hint="eastAsia" w:ascii="仿宋." w:hAnsi="仿宋." w:eastAsia="仿宋."/>
          <w:color w:val="000000"/>
          <w:sz w:val="32"/>
          <w:lang w:val="en-US" w:eastAsia="zh-CN"/>
        </w:rPr>
        <w:t>一致性评价，意见广泛再征集</w:t>
      </w:r>
    </w:p>
    <w:p>
      <w:pPr>
        <w:ind w:firstLine="600" w:firstLineChars="200"/>
        <w:rPr>
          <w:rFonts w:hint="eastAsia" w:ascii="仿宋" w:hAnsi="仿宋" w:eastAsia="仿宋" w:cs="仿宋"/>
          <w:color w:val="000000"/>
          <w:sz w:val="30"/>
          <w:szCs w:val="30"/>
          <w:lang w:val="en-US" w:eastAsia="zh-CN"/>
        </w:rPr>
      </w:pPr>
      <w:r>
        <w:rPr>
          <w:rFonts w:hint="eastAsia" w:ascii="仿宋" w:hAnsi="仿宋" w:eastAsia="仿宋" w:cs="仿宋"/>
          <w:bCs/>
          <w:sz w:val="30"/>
          <w:szCs w:val="30"/>
        </w:rPr>
        <w:t>2015年</w:t>
      </w:r>
      <w:r>
        <w:rPr>
          <w:rFonts w:hint="eastAsia" w:ascii="仿宋" w:hAnsi="仿宋" w:eastAsia="仿宋" w:cs="仿宋"/>
          <w:bCs/>
          <w:sz w:val="30"/>
          <w:szCs w:val="30"/>
          <w:lang w:val="en-US" w:eastAsia="zh-CN"/>
        </w:rPr>
        <w:t>12</w:t>
      </w:r>
      <w:r>
        <w:rPr>
          <w:rFonts w:hint="eastAsia" w:ascii="仿宋" w:hAnsi="仿宋" w:eastAsia="仿宋" w:cs="仿宋"/>
          <w:bCs/>
          <w:sz w:val="30"/>
          <w:szCs w:val="30"/>
        </w:rPr>
        <w:t>月至201</w:t>
      </w:r>
      <w:r>
        <w:rPr>
          <w:rFonts w:hint="eastAsia" w:ascii="仿宋" w:hAnsi="仿宋" w:eastAsia="仿宋" w:cs="仿宋"/>
          <w:bCs/>
          <w:sz w:val="30"/>
          <w:szCs w:val="30"/>
          <w:lang w:val="en-US" w:eastAsia="zh-CN"/>
        </w:rPr>
        <w:t>6</w:t>
      </w:r>
      <w:r>
        <w:rPr>
          <w:rFonts w:hint="eastAsia" w:ascii="仿宋" w:hAnsi="仿宋" w:eastAsia="仿宋" w:cs="仿宋"/>
          <w:bCs/>
          <w:sz w:val="30"/>
          <w:szCs w:val="30"/>
        </w:rPr>
        <w:t>年</w:t>
      </w:r>
      <w:r>
        <w:rPr>
          <w:rFonts w:hint="eastAsia" w:ascii="仿宋" w:hAnsi="仿宋" w:eastAsia="仿宋" w:cs="仿宋"/>
          <w:bCs/>
          <w:sz w:val="30"/>
          <w:szCs w:val="30"/>
          <w:lang w:val="en-US" w:eastAsia="zh-CN"/>
        </w:rPr>
        <w:t>6</w:t>
      </w:r>
      <w:r>
        <w:rPr>
          <w:rFonts w:hint="eastAsia" w:ascii="仿宋" w:hAnsi="仿宋" w:eastAsia="仿宋" w:cs="仿宋"/>
          <w:bCs/>
          <w:sz w:val="30"/>
          <w:szCs w:val="30"/>
        </w:rPr>
        <w:t>月，课题组开始开展登革热指南评价稿的一致性评价工作。但因2015年、2016年登革热并未形成大爆发，故而无法按照中华医学会指定要求进行，因此选取广东省中医院2014年10月200例登革热住院及门诊患者进行诊断、治疗方面的回顾性调查。并填写中华医学会所提供的《中医诊疗指南一致性测试表（病例调查表）》，依据病例调查表，对指南进行分析评价，撰写《中医临床诊疗指南一致性测试报告</w:t>
      </w:r>
      <w:r>
        <w:rPr>
          <w:rFonts w:hint="eastAsia" w:ascii="仿宋" w:hAnsi="仿宋" w:eastAsia="仿宋" w:cs="仿宋"/>
          <w:bCs/>
          <w:color w:val="000000" w:themeColor="text1"/>
          <w:sz w:val="30"/>
          <w:szCs w:val="30"/>
        </w:rPr>
        <w:t>》，</w:t>
      </w:r>
      <w:r>
        <w:rPr>
          <w:rFonts w:hint="eastAsia" w:ascii="仿宋" w:hAnsi="仿宋" w:eastAsia="仿宋" w:cs="仿宋"/>
          <w:color w:val="000000"/>
          <w:sz w:val="30"/>
          <w:szCs w:val="30"/>
        </w:rPr>
        <w:t>形成</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登革热中医临床诊疗指南（专家指导组审核稿）</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w:t>
      </w:r>
    </w:p>
    <w:p>
      <w:pPr>
        <w:numPr>
          <w:ilvl w:val="0"/>
          <w:numId w:val="0"/>
        </w:numPr>
        <w:spacing w:beforeLines="0" w:afterLines="0"/>
        <w:ind w:firstLine="420" w:firstLineChars="0"/>
        <w:jc w:val="left"/>
        <w:rPr>
          <w:rFonts w:hint="eastAsia" w:ascii="仿宋" w:hAnsi="仿宋" w:eastAsia="仿宋" w:cs="仿宋"/>
          <w:color w:val="000000"/>
          <w:sz w:val="30"/>
          <w:szCs w:val="30"/>
          <w:lang w:val="en-US" w:eastAsia="zh-CN"/>
        </w:rPr>
      </w:pPr>
      <w:r>
        <w:rPr>
          <w:rFonts w:hint="eastAsia" w:ascii="仿宋" w:hAnsi="仿宋" w:eastAsia="仿宋" w:cs="仿宋"/>
          <w:sz w:val="30"/>
          <w:szCs w:val="30"/>
        </w:rPr>
        <w:t>（5）</w:t>
      </w:r>
      <w:r>
        <w:rPr>
          <w:rFonts w:hint="eastAsia" w:ascii="仿宋" w:hAnsi="仿宋" w:eastAsia="仿宋" w:cs="仿宋"/>
          <w:color w:val="000000"/>
          <w:sz w:val="30"/>
          <w:szCs w:val="30"/>
          <w:lang w:val="en-US" w:eastAsia="zh-CN"/>
        </w:rPr>
        <w:t>专家审核、公开征求意见及送审</w:t>
      </w:r>
    </w:p>
    <w:p>
      <w:pPr>
        <w:numPr>
          <w:ilvl w:val="0"/>
          <w:numId w:val="0"/>
        </w:numPr>
        <w:spacing w:beforeLines="0" w:afterLines="0"/>
        <w:jc w:val="left"/>
        <w:rPr>
          <w:rFonts w:ascii="仿宋" w:hAnsi="仿宋" w:eastAsia="仿宋" w:cs="仿宋"/>
          <w:sz w:val="30"/>
          <w:szCs w:val="30"/>
        </w:rPr>
      </w:pPr>
      <w:r>
        <w:rPr>
          <w:rFonts w:hint="eastAsia" w:ascii="仿宋" w:hAnsi="仿宋" w:eastAsia="仿宋" w:cs="仿宋"/>
          <w:color w:val="000000"/>
          <w:sz w:val="30"/>
          <w:szCs w:val="30"/>
          <w:lang w:val="en-US" w:eastAsia="zh-CN"/>
        </w:rPr>
        <w:t xml:space="preserve">    2016年12月2日，中医内科临床诊疗指南制修订专家指导组组织专家对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登革热中医临床诊疗指南（专家指导组审核稿）</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进行了审核，提出了修改意见和建议。工作组根据专家意见再次对指南进行了补充、修正和完善，形成《登革热中医临床诊疗指南（公开征求意见稿）》并送交中华中医药学会。</w:t>
      </w:r>
    </w:p>
    <w:p>
      <w:pPr>
        <w:widowControl/>
        <w:jc w:val="left"/>
      </w:pPr>
      <w:r>
        <w:drawing>
          <wp:inline distT="0" distB="0" distL="114300" distR="114300">
            <wp:extent cx="5273675" cy="325437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3675" cy="3254375"/>
                    </a:xfrm>
                    <a:prstGeom prst="rect">
                      <a:avLst/>
                    </a:prstGeom>
                    <a:noFill/>
                    <a:ln w="9525">
                      <a:noFill/>
                    </a:ln>
                  </pic:spPr>
                </pic:pic>
              </a:graphicData>
            </a:graphic>
          </wp:inline>
        </w:drawing>
      </w:r>
    </w:p>
    <w:p>
      <w:pPr>
        <w:numPr>
          <w:ilvl w:val="0"/>
          <w:numId w:val="0"/>
        </w:numPr>
        <w:spacing w:beforeLines="0" w:afterLines="0"/>
        <w:jc w:val="center"/>
      </w:pPr>
      <w:r>
        <w:rPr>
          <w:rFonts w:hint="eastAsia" w:ascii="仿宋." w:hAnsi="仿宋." w:eastAsia="仿宋."/>
          <w:color w:val="000000"/>
          <w:sz w:val="32"/>
          <w:lang w:val="en-US" w:eastAsia="zh-CN"/>
        </w:rPr>
        <w:t>指南制定</w:t>
      </w:r>
      <w:r>
        <w:rPr>
          <w:rFonts w:hint="eastAsia" w:ascii="仿宋." w:hAnsi="仿宋." w:eastAsia="仿宋."/>
          <w:color w:val="000000"/>
          <w:sz w:val="32"/>
        </w:rPr>
        <w:t>工作流程图</w:t>
      </w:r>
    </w:p>
    <w:p>
      <w:pPr>
        <w:rPr>
          <w:rFonts w:asciiTheme="minorEastAsia" w:hAnsiTheme="minorEastAsia" w:cstheme="minorEastAsia"/>
          <w:bCs/>
          <w:sz w:val="24"/>
        </w:rPr>
      </w:pPr>
      <w:r>
        <w:rPr>
          <w:rFonts w:hint="eastAsia" w:asciiTheme="minorEastAsia" w:hAnsiTheme="minorEastAsia" w:cstheme="minorEastAsia"/>
          <w:bCs/>
          <w:sz w:val="24"/>
        </w:rPr>
        <w:t xml:space="preserve">      </w:t>
      </w:r>
    </w:p>
    <w:p>
      <w:pPr>
        <w:outlineLvl w:val="1"/>
        <w:rPr>
          <w:rFonts w:ascii="仿宋" w:hAnsi="仿宋" w:eastAsia="仿宋" w:cs="仿宋"/>
          <w:b/>
          <w:sz w:val="32"/>
          <w:szCs w:val="32"/>
        </w:rPr>
      </w:pPr>
      <w:bookmarkStart w:id="8" w:name="_Toc1711"/>
      <w:bookmarkStart w:id="9" w:name="_Toc497922130"/>
      <w:r>
        <w:rPr>
          <w:rFonts w:hint="eastAsia" w:ascii="仿宋" w:hAnsi="仿宋" w:eastAsia="仿宋" w:cs="仿宋"/>
          <w:b/>
          <w:sz w:val="32"/>
          <w:szCs w:val="32"/>
        </w:rPr>
        <w:t>1.4 标准主要起草人及其所做工作</w:t>
      </w:r>
      <w:bookmarkEnd w:id="8"/>
      <w:bookmarkEnd w:id="9"/>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900"/>
        <w:gridCol w:w="1855"/>
        <w:gridCol w:w="1186"/>
        <w:gridCol w:w="1323"/>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6"/>
          </w:tcPr>
          <w:p>
            <w:pPr>
              <w:jc w:val="center"/>
              <w:rPr>
                <w:rFonts w:ascii="仿宋" w:hAnsi="仿宋" w:eastAsia="仿宋" w:cs="仿宋"/>
                <w:bCs/>
                <w:sz w:val="28"/>
                <w:szCs w:val="28"/>
              </w:rPr>
            </w:pPr>
            <w:r>
              <w:rPr>
                <w:rFonts w:hint="eastAsia" w:ascii="仿宋" w:hAnsi="仿宋" w:eastAsia="仿宋" w:cs="仿宋"/>
                <w:bCs/>
                <w:sz w:val="28"/>
                <w:szCs w:val="28"/>
              </w:rPr>
              <w:t>标准主要起草人及其所做的工作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jc w:val="center"/>
              <w:rPr>
                <w:rFonts w:ascii="仿宋" w:hAnsi="仿宋" w:eastAsia="仿宋" w:cs="仿宋"/>
                <w:bCs/>
                <w:sz w:val="28"/>
                <w:szCs w:val="28"/>
              </w:rPr>
            </w:pPr>
            <w:r>
              <w:rPr>
                <w:rFonts w:hint="eastAsia" w:ascii="仿宋" w:hAnsi="仿宋" w:eastAsia="仿宋" w:cs="仿宋"/>
                <w:bCs/>
                <w:sz w:val="28"/>
                <w:szCs w:val="28"/>
              </w:rPr>
              <w:t>姓名</w:t>
            </w:r>
          </w:p>
        </w:tc>
        <w:tc>
          <w:tcPr>
            <w:tcW w:w="900" w:type="dxa"/>
          </w:tcPr>
          <w:p>
            <w:pPr>
              <w:jc w:val="center"/>
              <w:rPr>
                <w:rFonts w:ascii="仿宋" w:hAnsi="仿宋" w:eastAsia="仿宋" w:cs="仿宋"/>
                <w:bCs/>
                <w:sz w:val="28"/>
                <w:szCs w:val="28"/>
              </w:rPr>
            </w:pPr>
            <w:r>
              <w:rPr>
                <w:rFonts w:hint="eastAsia" w:ascii="仿宋" w:hAnsi="仿宋" w:eastAsia="仿宋" w:cs="仿宋"/>
                <w:bCs/>
                <w:sz w:val="28"/>
                <w:szCs w:val="28"/>
              </w:rPr>
              <w:t>学位</w:t>
            </w:r>
          </w:p>
        </w:tc>
        <w:tc>
          <w:tcPr>
            <w:tcW w:w="1855" w:type="dxa"/>
          </w:tcPr>
          <w:p>
            <w:pPr>
              <w:jc w:val="center"/>
              <w:rPr>
                <w:rFonts w:ascii="仿宋" w:hAnsi="仿宋" w:eastAsia="仿宋" w:cs="仿宋"/>
                <w:bCs/>
                <w:sz w:val="28"/>
                <w:szCs w:val="28"/>
              </w:rPr>
            </w:pPr>
            <w:r>
              <w:rPr>
                <w:rFonts w:hint="eastAsia" w:ascii="仿宋" w:hAnsi="仿宋" w:eastAsia="仿宋" w:cs="仿宋"/>
                <w:bCs/>
                <w:sz w:val="28"/>
                <w:szCs w:val="28"/>
              </w:rPr>
              <w:t>单位</w:t>
            </w:r>
          </w:p>
        </w:tc>
        <w:tc>
          <w:tcPr>
            <w:tcW w:w="1186" w:type="dxa"/>
          </w:tcPr>
          <w:p>
            <w:pPr>
              <w:jc w:val="center"/>
              <w:rPr>
                <w:rFonts w:ascii="仿宋" w:hAnsi="仿宋" w:eastAsia="仿宋" w:cs="仿宋"/>
                <w:bCs/>
                <w:sz w:val="28"/>
                <w:szCs w:val="28"/>
              </w:rPr>
            </w:pPr>
            <w:r>
              <w:rPr>
                <w:rFonts w:hint="eastAsia" w:ascii="仿宋" w:hAnsi="仿宋" w:eastAsia="仿宋" w:cs="仿宋"/>
                <w:bCs/>
                <w:sz w:val="28"/>
                <w:szCs w:val="28"/>
              </w:rPr>
              <w:t>职务</w:t>
            </w:r>
          </w:p>
        </w:tc>
        <w:tc>
          <w:tcPr>
            <w:tcW w:w="1323" w:type="dxa"/>
          </w:tcPr>
          <w:p>
            <w:pPr>
              <w:jc w:val="center"/>
              <w:rPr>
                <w:rFonts w:ascii="仿宋" w:hAnsi="仿宋" w:eastAsia="仿宋" w:cs="仿宋"/>
                <w:bCs/>
                <w:sz w:val="28"/>
                <w:szCs w:val="28"/>
              </w:rPr>
            </w:pPr>
            <w:r>
              <w:rPr>
                <w:rFonts w:hint="eastAsia" w:ascii="仿宋" w:hAnsi="仿宋" w:eastAsia="仿宋" w:cs="仿宋"/>
                <w:bCs/>
                <w:sz w:val="28"/>
                <w:szCs w:val="28"/>
              </w:rPr>
              <w:t>职称</w:t>
            </w:r>
          </w:p>
        </w:tc>
        <w:tc>
          <w:tcPr>
            <w:tcW w:w="2222" w:type="dxa"/>
          </w:tcPr>
          <w:p>
            <w:pPr>
              <w:jc w:val="center"/>
              <w:rPr>
                <w:rFonts w:ascii="仿宋" w:hAnsi="仿宋" w:eastAsia="仿宋" w:cs="仿宋"/>
                <w:bCs/>
                <w:sz w:val="28"/>
                <w:szCs w:val="28"/>
              </w:rPr>
            </w:pPr>
            <w:r>
              <w:rPr>
                <w:rFonts w:hint="eastAsia" w:ascii="仿宋" w:hAnsi="仿宋" w:eastAsia="仿宋" w:cs="仿宋"/>
                <w:bCs/>
                <w:sz w:val="28"/>
                <w:szCs w:val="28"/>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sz w:val="28"/>
                <w:szCs w:val="28"/>
              </w:rPr>
              <w:t>张忠德</w:t>
            </w:r>
          </w:p>
        </w:tc>
        <w:tc>
          <w:tcPr>
            <w:tcW w:w="900" w:type="dxa"/>
          </w:tcPr>
          <w:p>
            <w:pPr>
              <w:rPr>
                <w:rFonts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ascii="仿宋" w:hAnsi="仿宋" w:eastAsia="仿宋" w:cs="仿宋"/>
                <w:bCs/>
                <w:sz w:val="28"/>
                <w:szCs w:val="28"/>
              </w:rPr>
            </w:pPr>
            <w:r>
              <w:rPr>
                <w:rFonts w:hint="eastAsia" w:ascii="仿宋" w:hAnsi="仿宋" w:eastAsia="仿宋" w:cs="仿宋"/>
                <w:bCs/>
                <w:sz w:val="28"/>
                <w:szCs w:val="28"/>
              </w:rPr>
              <w:t>广东省中医院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副院长</w:t>
            </w:r>
          </w:p>
        </w:tc>
        <w:tc>
          <w:tcPr>
            <w:tcW w:w="1323" w:type="dxa"/>
          </w:tcPr>
          <w:p>
            <w:pPr>
              <w:rPr>
                <w:rFonts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sz w:val="28"/>
                <w:szCs w:val="28"/>
              </w:rPr>
              <w:t>指南的总体设计及编写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sz w:val="28"/>
                <w:szCs w:val="28"/>
              </w:rPr>
              <w:t>刘清泉</w:t>
            </w:r>
          </w:p>
        </w:tc>
        <w:tc>
          <w:tcPr>
            <w:tcW w:w="900" w:type="dxa"/>
          </w:tcPr>
          <w:p>
            <w:pPr>
              <w:rPr>
                <w:rFonts w:ascii="仿宋" w:hAnsi="仿宋" w:eastAsia="仿宋" w:cs="仿宋"/>
                <w:bCs/>
                <w:sz w:val="28"/>
                <w:szCs w:val="28"/>
              </w:rPr>
            </w:pPr>
            <w:r>
              <w:rPr>
                <w:rFonts w:hint="eastAsia" w:ascii="仿宋" w:hAnsi="仿宋" w:eastAsia="仿宋" w:cs="仿宋"/>
                <w:bCs/>
                <w:sz w:val="28"/>
                <w:szCs w:val="28"/>
              </w:rPr>
              <w:t>医学博士</w:t>
            </w:r>
          </w:p>
        </w:tc>
        <w:tc>
          <w:tcPr>
            <w:tcW w:w="1855" w:type="dxa"/>
          </w:tcPr>
          <w:p>
            <w:pPr>
              <w:rPr>
                <w:rFonts w:ascii="仿宋" w:hAnsi="仿宋" w:eastAsia="仿宋" w:cs="仿宋"/>
                <w:bCs/>
                <w:sz w:val="28"/>
                <w:szCs w:val="28"/>
              </w:rPr>
            </w:pPr>
            <w:r>
              <w:rPr>
                <w:rFonts w:hint="eastAsia" w:ascii="仿宋" w:hAnsi="仿宋" w:eastAsia="仿宋" w:cs="仿宋"/>
                <w:bCs/>
                <w:sz w:val="28"/>
                <w:szCs w:val="28"/>
              </w:rPr>
              <w:t>首都医科大学附属北京市中医院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院长</w:t>
            </w:r>
          </w:p>
        </w:tc>
        <w:tc>
          <w:tcPr>
            <w:tcW w:w="1323" w:type="dxa"/>
          </w:tcPr>
          <w:p>
            <w:pPr>
              <w:rPr>
                <w:rFonts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sz w:val="28"/>
                <w:szCs w:val="28"/>
              </w:rPr>
              <w:t>指南的总体设计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kern w:val="0"/>
                <w:sz w:val="28"/>
                <w:szCs w:val="28"/>
              </w:rPr>
              <w:t>覃小兰</w:t>
            </w:r>
          </w:p>
        </w:tc>
        <w:tc>
          <w:tcPr>
            <w:tcW w:w="900" w:type="dxa"/>
          </w:tcPr>
          <w:p>
            <w:pPr>
              <w:rPr>
                <w:rFonts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ascii="仿宋" w:hAnsi="仿宋" w:eastAsia="仿宋" w:cs="仿宋"/>
                <w:bCs/>
                <w:sz w:val="28"/>
                <w:szCs w:val="28"/>
              </w:rPr>
            </w:pPr>
            <w:r>
              <w:rPr>
                <w:rFonts w:hint="eastAsia" w:ascii="仿宋" w:hAnsi="仿宋" w:eastAsia="仿宋" w:cs="仿宋"/>
                <w:bCs/>
                <w:sz w:val="28"/>
                <w:szCs w:val="28"/>
              </w:rPr>
              <w:t>广东省中医院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sz w:val="28"/>
                <w:szCs w:val="28"/>
              </w:rPr>
              <w:t>指南古代文献的检索、评价及指南草案书写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sz w:val="28"/>
                <w:szCs w:val="28"/>
              </w:rPr>
              <w:t>李芳</w:t>
            </w:r>
          </w:p>
        </w:tc>
        <w:tc>
          <w:tcPr>
            <w:tcW w:w="900" w:type="dxa"/>
          </w:tcPr>
          <w:p>
            <w:pPr>
              <w:rPr>
                <w:rFonts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ascii="仿宋" w:hAnsi="仿宋" w:eastAsia="仿宋" w:cs="仿宋"/>
                <w:bCs/>
                <w:sz w:val="28"/>
                <w:szCs w:val="28"/>
              </w:rPr>
            </w:pPr>
            <w:r>
              <w:rPr>
                <w:rFonts w:hint="eastAsia" w:ascii="仿宋" w:hAnsi="仿宋" w:eastAsia="仿宋" w:cs="仿宋"/>
                <w:bCs/>
                <w:sz w:val="28"/>
                <w:szCs w:val="28"/>
              </w:rPr>
              <w:t>广东省中医院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sz w:val="28"/>
                <w:szCs w:val="28"/>
              </w:rPr>
              <w:t>现代文献的检索、评价及指南草案书写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sz w:val="28"/>
                <w:szCs w:val="28"/>
              </w:rPr>
              <w:t>王玉光</w:t>
            </w:r>
          </w:p>
        </w:tc>
        <w:tc>
          <w:tcPr>
            <w:tcW w:w="900" w:type="dxa"/>
          </w:tcPr>
          <w:p>
            <w:pPr>
              <w:rPr>
                <w:rFonts w:ascii="仿宋" w:hAnsi="仿宋" w:eastAsia="仿宋" w:cs="仿宋"/>
                <w:bCs/>
                <w:sz w:val="28"/>
                <w:szCs w:val="28"/>
              </w:rPr>
            </w:pPr>
            <w:r>
              <w:rPr>
                <w:rFonts w:hint="eastAsia" w:ascii="仿宋" w:hAnsi="仿宋" w:eastAsia="仿宋" w:cs="仿宋"/>
                <w:bCs/>
                <w:kern w:val="0"/>
                <w:sz w:val="28"/>
                <w:szCs w:val="28"/>
              </w:rPr>
              <w:t>医学博士</w:t>
            </w:r>
          </w:p>
        </w:tc>
        <w:tc>
          <w:tcPr>
            <w:tcW w:w="1855" w:type="dxa"/>
          </w:tcPr>
          <w:p>
            <w:pPr>
              <w:rPr>
                <w:rFonts w:ascii="仿宋" w:hAnsi="仿宋" w:eastAsia="仿宋" w:cs="仿宋"/>
                <w:bCs/>
                <w:sz w:val="28"/>
                <w:szCs w:val="28"/>
              </w:rPr>
            </w:pPr>
            <w:r>
              <w:rPr>
                <w:rFonts w:hint="eastAsia" w:ascii="仿宋" w:hAnsi="仿宋" w:eastAsia="仿宋" w:cs="仿宋"/>
                <w:bCs/>
                <w:kern w:val="0"/>
                <w:sz w:val="28"/>
                <w:szCs w:val="28"/>
              </w:rPr>
              <w:t>北京市中医医院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ascii="仿宋" w:hAnsi="仿宋" w:eastAsia="仿宋" w:cs="仿宋"/>
                <w:b/>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sz w:val="28"/>
                <w:szCs w:val="28"/>
              </w:rPr>
              <w:t>指南中医辨证部分内容的书写及审核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ascii="仿宋" w:hAnsi="仿宋" w:eastAsia="仿宋" w:cs="仿宋"/>
                <w:bCs/>
                <w:sz w:val="28"/>
                <w:szCs w:val="28"/>
              </w:rPr>
            </w:pPr>
            <w:r>
              <w:rPr>
                <w:rFonts w:hint="eastAsia" w:ascii="仿宋" w:hAnsi="仿宋" w:eastAsia="仿宋" w:cs="仿宋"/>
                <w:bCs/>
                <w:sz w:val="28"/>
                <w:szCs w:val="28"/>
              </w:rPr>
              <w:t xml:space="preserve">王严冬 </w:t>
            </w:r>
          </w:p>
        </w:tc>
        <w:tc>
          <w:tcPr>
            <w:tcW w:w="900" w:type="dxa"/>
          </w:tcPr>
          <w:p>
            <w:pPr>
              <w:rPr>
                <w:rFonts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ascii="仿宋" w:hAnsi="仿宋" w:eastAsia="仿宋" w:cs="仿宋"/>
                <w:bCs/>
                <w:sz w:val="28"/>
                <w:szCs w:val="28"/>
              </w:rPr>
            </w:pPr>
            <w:r>
              <w:rPr>
                <w:rFonts w:hint="eastAsia" w:ascii="仿宋" w:hAnsi="仿宋" w:eastAsia="仿宋" w:cs="仿宋"/>
                <w:bCs/>
                <w:sz w:val="28"/>
                <w:szCs w:val="28"/>
              </w:rPr>
              <w:t>广东省中医院</w:t>
            </w:r>
          </w:p>
        </w:tc>
        <w:tc>
          <w:tcPr>
            <w:tcW w:w="1186" w:type="dxa"/>
          </w:tcPr>
          <w:p>
            <w:pPr>
              <w:rPr>
                <w:rFonts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ascii="仿宋" w:hAnsi="仿宋" w:eastAsia="仿宋" w:cs="仿宋"/>
                <w:bCs/>
                <w:sz w:val="28"/>
                <w:szCs w:val="28"/>
              </w:rPr>
            </w:pPr>
            <w:r>
              <w:rPr>
                <w:rFonts w:hint="eastAsia" w:ascii="仿宋" w:hAnsi="仿宋" w:eastAsia="仿宋" w:cs="仿宋"/>
                <w:bCs/>
                <w:kern w:val="0"/>
                <w:sz w:val="28"/>
                <w:szCs w:val="28"/>
              </w:rPr>
              <w:t xml:space="preserve"> 指南的专著检索、评价及指南草案书写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hint="eastAsia" w:ascii="仿宋" w:hAnsi="仿宋" w:eastAsia="仿宋" w:cs="仿宋"/>
                <w:bCs/>
                <w:sz w:val="28"/>
                <w:szCs w:val="28"/>
              </w:rPr>
            </w:pPr>
            <w:r>
              <w:rPr>
                <w:rFonts w:hint="eastAsia" w:ascii="仿宋" w:hAnsi="仿宋" w:eastAsia="仿宋" w:cs="仿宋"/>
                <w:bCs/>
                <w:sz w:val="28"/>
                <w:szCs w:val="28"/>
              </w:rPr>
              <w:t>王政林</w:t>
            </w:r>
          </w:p>
        </w:tc>
        <w:tc>
          <w:tcPr>
            <w:tcW w:w="900" w:type="dxa"/>
          </w:tcPr>
          <w:p>
            <w:pPr>
              <w:rPr>
                <w:rFonts w:hint="eastAsia"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hint="eastAsia" w:ascii="仿宋" w:hAnsi="仿宋" w:eastAsia="仿宋" w:cs="仿宋"/>
                <w:bCs/>
                <w:sz w:val="28"/>
                <w:szCs w:val="28"/>
              </w:rPr>
            </w:pPr>
            <w:r>
              <w:rPr>
                <w:rFonts w:hint="eastAsia" w:ascii="仿宋" w:hAnsi="仿宋" w:eastAsia="仿宋" w:cs="仿宋"/>
                <w:bCs/>
                <w:sz w:val="28"/>
                <w:szCs w:val="28"/>
              </w:rPr>
              <w:t>广西中医药大学第一附属医院</w:t>
            </w:r>
          </w:p>
        </w:tc>
        <w:tc>
          <w:tcPr>
            <w:tcW w:w="1186" w:type="dxa"/>
          </w:tcPr>
          <w:p>
            <w:pPr>
              <w:rPr>
                <w:rFonts w:hint="eastAsia"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hint="eastAsia"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hint="eastAsia" w:ascii="仿宋" w:hAnsi="仿宋" w:eastAsia="仿宋" w:cs="仿宋"/>
                <w:bCs/>
                <w:sz w:val="28"/>
                <w:szCs w:val="28"/>
              </w:rPr>
            </w:pPr>
            <w:r>
              <w:rPr>
                <w:rFonts w:hint="eastAsia" w:ascii="仿宋" w:hAnsi="仿宋" w:eastAsia="仿宋" w:cs="仿宋"/>
                <w:bCs/>
                <w:sz w:val="28"/>
                <w:szCs w:val="28"/>
              </w:rPr>
              <w:t>主要负责指南的审核与评价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6" w:type="dxa"/>
          </w:tcPr>
          <w:p>
            <w:pPr>
              <w:rPr>
                <w:rFonts w:hint="eastAsia" w:ascii="仿宋" w:hAnsi="仿宋" w:eastAsia="仿宋" w:cs="仿宋"/>
                <w:bCs/>
                <w:sz w:val="28"/>
                <w:szCs w:val="28"/>
              </w:rPr>
            </w:pPr>
            <w:r>
              <w:rPr>
                <w:rFonts w:hint="eastAsia" w:ascii="仿宋" w:hAnsi="仿宋" w:eastAsia="仿宋" w:cs="仿宋"/>
                <w:bCs/>
                <w:sz w:val="28"/>
                <w:szCs w:val="28"/>
              </w:rPr>
              <w:t>叶  勇</w:t>
            </w:r>
          </w:p>
        </w:tc>
        <w:tc>
          <w:tcPr>
            <w:tcW w:w="900" w:type="dxa"/>
          </w:tcPr>
          <w:p>
            <w:pPr>
              <w:rPr>
                <w:rFonts w:hint="eastAsia" w:ascii="仿宋" w:hAnsi="仿宋" w:eastAsia="仿宋" w:cs="仿宋"/>
                <w:bCs/>
                <w:sz w:val="28"/>
                <w:szCs w:val="28"/>
              </w:rPr>
            </w:pPr>
            <w:r>
              <w:rPr>
                <w:rFonts w:hint="eastAsia" w:ascii="仿宋" w:hAnsi="仿宋" w:eastAsia="仿宋" w:cs="仿宋"/>
                <w:bCs/>
                <w:sz w:val="28"/>
                <w:szCs w:val="28"/>
              </w:rPr>
              <w:t>医学硕士</w:t>
            </w:r>
          </w:p>
        </w:tc>
        <w:tc>
          <w:tcPr>
            <w:tcW w:w="1855" w:type="dxa"/>
          </w:tcPr>
          <w:p>
            <w:pPr>
              <w:rPr>
                <w:rFonts w:hint="eastAsia" w:ascii="仿宋" w:hAnsi="仿宋" w:eastAsia="仿宋" w:cs="仿宋"/>
                <w:bCs/>
                <w:sz w:val="28"/>
                <w:szCs w:val="28"/>
              </w:rPr>
            </w:pPr>
            <w:r>
              <w:rPr>
                <w:rFonts w:hint="eastAsia" w:ascii="仿宋" w:hAnsi="仿宋" w:eastAsia="仿宋" w:cs="仿宋"/>
                <w:bCs/>
                <w:sz w:val="28"/>
                <w:szCs w:val="28"/>
              </w:rPr>
              <w:t>云南省中医院急</w:t>
            </w:r>
          </w:p>
        </w:tc>
        <w:tc>
          <w:tcPr>
            <w:tcW w:w="1186" w:type="dxa"/>
          </w:tcPr>
          <w:p>
            <w:pPr>
              <w:rPr>
                <w:rFonts w:hint="eastAsia" w:ascii="仿宋" w:hAnsi="仿宋" w:eastAsia="仿宋" w:cs="仿宋"/>
                <w:bCs/>
                <w:sz w:val="28"/>
                <w:szCs w:val="28"/>
              </w:rPr>
            </w:pPr>
            <w:r>
              <w:rPr>
                <w:rFonts w:hint="eastAsia" w:ascii="仿宋" w:hAnsi="仿宋" w:eastAsia="仿宋" w:cs="仿宋"/>
                <w:bCs/>
                <w:sz w:val="28"/>
                <w:szCs w:val="28"/>
              </w:rPr>
              <w:t>主任</w:t>
            </w:r>
          </w:p>
        </w:tc>
        <w:tc>
          <w:tcPr>
            <w:tcW w:w="1323" w:type="dxa"/>
          </w:tcPr>
          <w:p>
            <w:pPr>
              <w:rPr>
                <w:rFonts w:hint="eastAsia" w:ascii="仿宋" w:hAnsi="仿宋" w:eastAsia="仿宋" w:cs="仿宋"/>
                <w:bCs/>
                <w:sz w:val="28"/>
                <w:szCs w:val="28"/>
              </w:rPr>
            </w:pPr>
            <w:r>
              <w:rPr>
                <w:rFonts w:hint="eastAsia" w:ascii="仿宋" w:hAnsi="仿宋" w:eastAsia="仿宋" w:cs="仿宋"/>
                <w:bCs/>
                <w:sz w:val="28"/>
                <w:szCs w:val="28"/>
              </w:rPr>
              <w:t>主任医师</w:t>
            </w:r>
          </w:p>
        </w:tc>
        <w:tc>
          <w:tcPr>
            <w:tcW w:w="2222" w:type="dxa"/>
          </w:tcPr>
          <w:p>
            <w:pPr>
              <w:rPr>
                <w:rFonts w:hint="eastAsia" w:ascii="仿宋" w:hAnsi="仿宋" w:eastAsia="仿宋" w:cs="仿宋"/>
                <w:bCs/>
                <w:sz w:val="28"/>
                <w:szCs w:val="28"/>
              </w:rPr>
            </w:pPr>
            <w:r>
              <w:rPr>
                <w:rFonts w:hint="eastAsia" w:ascii="仿宋" w:hAnsi="仿宋" w:eastAsia="仿宋" w:cs="仿宋"/>
                <w:bCs/>
                <w:sz w:val="28"/>
                <w:szCs w:val="28"/>
              </w:rPr>
              <w:t>指南的审核与评价</w:t>
            </w:r>
            <w:bookmarkStart w:id="32" w:name="_GoBack"/>
            <w:bookmarkEnd w:id="32"/>
          </w:p>
        </w:tc>
      </w:tr>
    </w:tbl>
    <w:p>
      <w:pPr>
        <w:rPr>
          <w:rFonts w:asciiTheme="minorEastAsia" w:hAnsiTheme="minorEastAsia" w:cstheme="minorEastAsia"/>
          <w:bCs/>
          <w:sz w:val="24"/>
        </w:rPr>
      </w:pPr>
    </w:p>
    <w:p>
      <w:pPr>
        <w:outlineLvl w:val="0"/>
        <w:rPr>
          <w:rFonts w:ascii="黑体" w:hAnsi="黑体" w:eastAsia="黑体" w:cs="黑体"/>
          <w:bCs/>
          <w:sz w:val="32"/>
          <w:szCs w:val="32"/>
        </w:rPr>
      </w:pPr>
      <w:bookmarkStart w:id="10" w:name="_Toc17959"/>
      <w:bookmarkStart w:id="11" w:name="_Toc497922131"/>
      <w:r>
        <w:rPr>
          <w:rFonts w:hint="eastAsia" w:ascii="黑体" w:hAnsi="黑体" w:eastAsia="黑体" w:cs="黑体"/>
          <w:bCs/>
          <w:sz w:val="32"/>
          <w:szCs w:val="32"/>
        </w:rPr>
        <w:t>2 标准编制原则和确定标准主要内容的论据</w:t>
      </w:r>
      <w:bookmarkEnd w:id="10"/>
      <w:bookmarkEnd w:id="11"/>
    </w:p>
    <w:p>
      <w:pPr>
        <w:outlineLvl w:val="1"/>
        <w:rPr>
          <w:rFonts w:ascii="仿宋" w:hAnsi="仿宋" w:eastAsia="仿宋" w:cs="仿宋"/>
          <w:b/>
          <w:sz w:val="32"/>
          <w:szCs w:val="32"/>
        </w:rPr>
      </w:pPr>
      <w:bookmarkStart w:id="12" w:name="_Toc17540"/>
      <w:bookmarkStart w:id="13" w:name="_Toc497922132"/>
      <w:r>
        <w:rPr>
          <w:rFonts w:hint="eastAsia" w:ascii="仿宋" w:hAnsi="仿宋" w:eastAsia="仿宋" w:cs="仿宋"/>
          <w:b/>
          <w:sz w:val="32"/>
          <w:szCs w:val="32"/>
        </w:rPr>
        <w:t>2.1 标准编制原则</w:t>
      </w:r>
      <w:bookmarkEnd w:id="12"/>
      <w:bookmarkEnd w:id="13"/>
    </w:p>
    <w:p>
      <w:pPr>
        <w:outlineLvl w:val="1"/>
        <w:rPr>
          <w:rFonts w:ascii="仿宋" w:hAnsi="仿宋" w:eastAsia="仿宋" w:cs="仿宋"/>
          <w:b/>
          <w:sz w:val="32"/>
          <w:szCs w:val="32"/>
        </w:rPr>
      </w:pPr>
      <w:bookmarkStart w:id="14" w:name="_Toc8980"/>
      <w:bookmarkStart w:id="15" w:name="_Toc497922133"/>
      <w:r>
        <w:rPr>
          <w:rFonts w:hint="eastAsia" w:ascii="仿宋" w:hAnsi="仿宋" w:eastAsia="仿宋" w:cs="仿宋"/>
          <w:b/>
          <w:sz w:val="32"/>
          <w:szCs w:val="32"/>
        </w:rPr>
        <w:t>2.2 确定标准主要内容的论据</w:t>
      </w:r>
      <w:bookmarkEnd w:id="14"/>
      <w:bookmarkEnd w:id="15"/>
    </w:p>
    <w:p>
      <w:pPr>
        <w:outlineLvl w:val="0"/>
        <w:rPr>
          <w:rFonts w:ascii="黑体" w:hAnsi="黑体" w:eastAsia="黑体" w:cs="黑体"/>
          <w:bCs/>
          <w:sz w:val="32"/>
          <w:szCs w:val="32"/>
        </w:rPr>
      </w:pPr>
      <w:bookmarkStart w:id="16" w:name="_Toc497922134"/>
      <w:bookmarkStart w:id="17" w:name="_Toc2721"/>
      <w:r>
        <w:rPr>
          <w:rFonts w:hint="eastAsia" w:ascii="黑体" w:hAnsi="黑体" w:eastAsia="黑体" w:cs="黑体"/>
          <w:bCs/>
          <w:sz w:val="32"/>
          <w:szCs w:val="32"/>
        </w:rPr>
        <w:t>3 主要内容的分析与综合报告，技术论证，预期效果</w:t>
      </w:r>
      <w:bookmarkEnd w:id="16"/>
      <w:bookmarkEnd w:id="17"/>
    </w:p>
    <w:p>
      <w:pPr>
        <w:outlineLvl w:val="0"/>
        <w:rPr>
          <w:rFonts w:ascii="黑体" w:hAnsi="黑体" w:eastAsia="黑体" w:cs="黑体"/>
          <w:bCs/>
          <w:sz w:val="32"/>
          <w:szCs w:val="32"/>
        </w:rPr>
      </w:pPr>
      <w:bookmarkStart w:id="18" w:name="_Toc497922135"/>
      <w:bookmarkStart w:id="19" w:name="_Toc22963"/>
      <w:r>
        <w:rPr>
          <w:rFonts w:hint="eastAsia" w:ascii="黑体" w:hAnsi="黑体" w:eastAsia="黑体" w:cs="黑体"/>
          <w:bCs/>
          <w:sz w:val="32"/>
          <w:szCs w:val="32"/>
        </w:rPr>
        <w:t>4 与有关的现行法律、法规和强制性标准的关系</w:t>
      </w:r>
      <w:bookmarkEnd w:id="18"/>
      <w:bookmarkEnd w:id="19"/>
    </w:p>
    <w:p>
      <w:pPr>
        <w:outlineLvl w:val="0"/>
        <w:rPr>
          <w:rFonts w:ascii="黑体" w:hAnsi="黑体" w:eastAsia="黑体" w:cs="黑体"/>
          <w:bCs/>
          <w:sz w:val="32"/>
          <w:szCs w:val="32"/>
        </w:rPr>
      </w:pPr>
      <w:bookmarkStart w:id="20" w:name="_Toc497922136"/>
      <w:bookmarkStart w:id="21" w:name="_Toc27906"/>
      <w:r>
        <w:rPr>
          <w:rFonts w:hint="eastAsia" w:ascii="黑体" w:hAnsi="黑体" w:eastAsia="黑体" w:cs="黑体"/>
          <w:bCs/>
          <w:sz w:val="32"/>
          <w:szCs w:val="32"/>
        </w:rPr>
        <w:t>5 重大分歧意见的处理经过和依据</w:t>
      </w:r>
      <w:bookmarkEnd w:id="20"/>
      <w:bookmarkEnd w:id="21"/>
    </w:p>
    <w:p>
      <w:pPr>
        <w:outlineLvl w:val="0"/>
        <w:rPr>
          <w:rFonts w:ascii="黑体" w:hAnsi="黑体" w:eastAsia="黑体" w:cs="黑体"/>
          <w:bCs/>
          <w:sz w:val="32"/>
          <w:szCs w:val="32"/>
        </w:rPr>
      </w:pPr>
      <w:bookmarkStart w:id="22" w:name="_Toc497922137"/>
      <w:bookmarkStart w:id="23" w:name="_Toc15473"/>
      <w:r>
        <w:rPr>
          <w:rFonts w:hint="eastAsia" w:ascii="黑体" w:hAnsi="黑体" w:eastAsia="黑体" w:cs="黑体"/>
          <w:bCs/>
          <w:sz w:val="32"/>
          <w:szCs w:val="32"/>
        </w:rPr>
        <w:t>6 作为推荐性标准的建议</w:t>
      </w:r>
      <w:bookmarkEnd w:id="22"/>
      <w:bookmarkEnd w:id="23"/>
    </w:p>
    <w:p>
      <w:pPr>
        <w:outlineLvl w:val="0"/>
        <w:rPr>
          <w:rFonts w:ascii="黑体" w:hAnsi="黑体" w:eastAsia="黑体" w:cs="黑体"/>
          <w:bCs/>
          <w:sz w:val="32"/>
          <w:szCs w:val="32"/>
        </w:rPr>
      </w:pPr>
      <w:bookmarkStart w:id="24" w:name="_Toc20795"/>
      <w:bookmarkStart w:id="25" w:name="_Toc497922138"/>
      <w:r>
        <w:rPr>
          <w:rFonts w:hint="eastAsia" w:ascii="黑体" w:hAnsi="黑体" w:eastAsia="黑体" w:cs="黑体"/>
          <w:bCs/>
          <w:sz w:val="32"/>
          <w:szCs w:val="32"/>
        </w:rPr>
        <w:t>7贯彻标准的要求和措施建议</w:t>
      </w:r>
      <w:bookmarkEnd w:id="24"/>
      <w:bookmarkEnd w:id="25"/>
    </w:p>
    <w:p>
      <w:pPr>
        <w:rPr>
          <w:rFonts w:ascii="仿宋" w:hAnsi="仿宋" w:eastAsia="仿宋" w:cs="仿宋"/>
          <w:b/>
          <w:color w:val="FF0000"/>
          <w:sz w:val="32"/>
          <w:szCs w:val="32"/>
        </w:rPr>
      </w:pPr>
      <w:r>
        <w:rPr>
          <w:rFonts w:hint="eastAsia" w:asciiTheme="minorEastAsia" w:hAnsiTheme="minorEastAsia" w:cstheme="minorEastAsia"/>
          <w:bCs/>
          <w:color w:val="FF0000"/>
          <w:sz w:val="30"/>
          <w:szCs w:val="30"/>
          <w:highlight w:val="green"/>
        </w:rPr>
        <w:t>（3~7条是编制说明格式规范里面要求的必填项，应该可以不要把~）</w:t>
      </w:r>
      <w:r>
        <w:rPr>
          <w:rFonts w:hint="eastAsia" w:ascii="仿宋" w:hAnsi="仿宋" w:eastAsia="仿宋" w:cs="仿宋"/>
          <w:b/>
          <w:color w:val="FF0000"/>
          <w:sz w:val="32"/>
          <w:szCs w:val="32"/>
        </w:rPr>
        <w:br w:type="page"/>
      </w:r>
    </w:p>
    <w:p>
      <w:pPr>
        <w:jc w:val="center"/>
        <w:outlineLvl w:val="0"/>
        <w:rPr>
          <w:rFonts w:ascii="仿宋" w:hAnsi="仿宋" w:eastAsia="仿宋" w:cs="仿宋"/>
          <w:b/>
          <w:sz w:val="32"/>
          <w:szCs w:val="32"/>
        </w:rPr>
      </w:pPr>
      <w:bookmarkStart w:id="26" w:name="_Toc497922139"/>
      <w:r>
        <w:rPr>
          <w:rFonts w:hint="eastAsia" w:ascii="仿宋" w:hAnsi="仿宋" w:eastAsia="仿宋" w:cs="仿宋"/>
          <w:b/>
          <w:sz w:val="32"/>
          <w:szCs w:val="32"/>
        </w:rPr>
        <w:t>附  件</w:t>
      </w:r>
      <w:bookmarkEnd w:id="26"/>
    </w:p>
    <w:p>
      <w:pPr>
        <w:outlineLvl w:val="1"/>
        <w:rPr>
          <w:rFonts w:ascii="仿宋" w:hAnsi="仿宋" w:eastAsia="仿宋" w:cs="仿宋"/>
          <w:b/>
          <w:sz w:val="30"/>
          <w:szCs w:val="30"/>
        </w:rPr>
      </w:pPr>
      <w:bookmarkStart w:id="27" w:name="_Toc497922140"/>
      <w:r>
        <w:rPr>
          <w:rFonts w:hint="eastAsia" w:ascii="仿宋" w:hAnsi="仿宋" w:eastAsia="仿宋" w:cs="仿宋"/>
          <w:b/>
          <w:sz w:val="30"/>
          <w:szCs w:val="30"/>
        </w:rPr>
        <w:t>1 问卷报告</w:t>
      </w:r>
      <w:bookmarkEnd w:id="27"/>
    </w:p>
    <w:p>
      <w:pPr>
        <w:spacing w:line="300" w:lineRule="auto"/>
        <w:outlineLvl w:val="2"/>
        <w:rPr>
          <w:rFonts w:ascii="仿宋" w:hAnsi="仿宋" w:eastAsia="仿宋" w:cs="仿宋"/>
          <w:b/>
          <w:bCs/>
          <w:color w:val="000000"/>
          <w:sz w:val="30"/>
          <w:szCs w:val="30"/>
        </w:rPr>
      </w:pPr>
      <w:r>
        <w:rPr>
          <w:rFonts w:hint="eastAsia" w:ascii="仿宋" w:hAnsi="仿宋" w:eastAsia="仿宋" w:cs="仿宋"/>
          <w:b/>
          <w:bCs/>
          <w:sz w:val="30"/>
          <w:szCs w:val="30"/>
        </w:rPr>
        <w:t>1.1 登革热文献检索词调查问卷</w:t>
      </w:r>
    </w:p>
    <w:p>
      <w:pPr>
        <w:spacing w:line="300" w:lineRule="auto"/>
        <w:rPr>
          <w:rFonts w:ascii="仿宋" w:hAnsi="仿宋" w:eastAsia="仿宋" w:cs="仿宋"/>
          <w:sz w:val="30"/>
          <w:szCs w:val="30"/>
        </w:rPr>
      </w:pPr>
      <w:r>
        <w:rPr>
          <w:rFonts w:hint="eastAsia" w:ascii="仿宋" w:hAnsi="仿宋" w:eastAsia="仿宋" w:cs="仿宋"/>
          <w:sz w:val="30"/>
          <w:szCs w:val="30"/>
        </w:rPr>
        <w:t>尊敬的</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主任：</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您好！首先感谢您抽出宝贵的时间帮助我们完成这次问卷调查！</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2015年，广东省中医院急诊科作为负责单位承担了《登革热中医药防治指南》的制定工作，根据指南制定的相关要求，需要对中医古籍及现代文献、专著等进行全面检索及评价。由于“登革热”为现代医学命名，因此确定合适的检索词成为获取相关古代文献的关键。现经内部初步讨论，暂拟定以下相关检索词。请在您认为可行的选项后打“√”，如您还有其他建议或意见，请填写在相应的空格上。感谢您的支持！</w:t>
      </w:r>
    </w:p>
    <w:p>
      <w:pPr>
        <w:spacing w:line="300" w:lineRule="auto"/>
        <w:ind w:firstLine="590" w:firstLineChars="196"/>
        <w:rPr>
          <w:rFonts w:ascii="仿宋" w:hAnsi="仿宋" w:eastAsia="仿宋" w:cs="仿宋"/>
          <w:b/>
          <w:bCs/>
          <w:sz w:val="30"/>
          <w:szCs w:val="30"/>
        </w:rPr>
      </w:pPr>
      <w:r>
        <w:rPr>
          <w:rFonts w:hint="eastAsia" w:ascii="仿宋" w:hAnsi="仿宋" w:eastAsia="仿宋" w:cs="仿宋"/>
          <w:b/>
          <w:bCs/>
          <w:sz w:val="30"/>
          <w:szCs w:val="30"/>
        </w:rPr>
        <w:t>1.现代文献检索词</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登革热Dengue fever（   ）</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登革出血热dengue hemorrhagic fever/DHF（   ）</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登革休克综合征</w:t>
      </w:r>
      <w:r>
        <w:rPr>
          <w:rFonts w:hint="eastAsia" w:ascii="仿宋" w:hAnsi="仿宋" w:eastAsia="仿宋" w:cs="仿宋"/>
          <w:color w:val="000000"/>
          <w:kern w:val="0"/>
          <w:sz w:val="30"/>
          <w:szCs w:val="30"/>
        </w:rPr>
        <w:t>dengue shock syndrome/DSS</w:t>
      </w:r>
      <w:r>
        <w:rPr>
          <w:rFonts w:hint="eastAsia" w:ascii="仿宋" w:hAnsi="仿宋" w:eastAsia="仿宋" w:cs="仿宋"/>
          <w:sz w:val="30"/>
          <w:szCs w:val="30"/>
        </w:rPr>
        <w:t>（   ）</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隐性感染</w:t>
      </w:r>
      <w:r>
        <w:rPr>
          <w:rFonts w:hint="eastAsia" w:ascii="仿宋" w:hAnsi="仿宋" w:eastAsia="仿宋" w:cs="仿宋"/>
          <w:color w:val="000000"/>
          <w:kern w:val="0"/>
          <w:sz w:val="30"/>
          <w:szCs w:val="30"/>
        </w:rPr>
        <w:t>asymptomatic infection</w:t>
      </w:r>
      <w:r>
        <w:rPr>
          <w:rFonts w:hint="eastAsia" w:ascii="仿宋" w:hAnsi="仿宋" w:eastAsia="仿宋" w:cs="仿宋"/>
          <w:sz w:val="30"/>
          <w:szCs w:val="30"/>
        </w:rPr>
        <w:t>（   ）</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重症登革热</w:t>
      </w:r>
      <w:r>
        <w:rPr>
          <w:rFonts w:hint="eastAsia" w:ascii="仿宋" w:hAnsi="仿宋" w:eastAsia="仿宋" w:cs="仿宋"/>
          <w:color w:val="000000"/>
          <w:kern w:val="0"/>
          <w:sz w:val="30"/>
          <w:szCs w:val="30"/>
        </w:rPr>
        <w:t>Severe dengue</w:t>
      </w:r>
      <w:r>
        <w:rPr>
          <w:rFonts w:hint="eastAsia" w:ascii="仿宋" w:hAnsi="仿宋" w:eastAsia="仿宋" w:cs="仿宋"/>
          <w:sz w:val="30"/>
          <w:szCs w:val="30"/>
        </w:rPr>
        <w:t>（   ）</w:t>
      </w:r>
    </w:p>
    <w:p>
      <w:pPr>
        <w:spacing w:line="300" w:lineRule="auto"/>
        <w:ind w:firstLine="588" w:firstLineChars="196"/>
        <w:rPr>
          <w:rFonts w:ascii="仿宋" w:hAnsi="仿宋" w:eastAsia="仿宋" w:cs="仿宋"/>
          <w:sz w:val="30"/>
          <w:szCs w:val="30"/>
        </w:rPr>
      </w:pPr>
      <w:r>
        <w:rPr>
          <w:rFonts w:hint="eastAsia" w:ascii="仿宋" w:hAnsi="仿宋" w:eastAsia="仿宋" w:cs="仿宋"/>
          <w:sz w:val="30"/>
          <w:szCs w:val="30"/>
        </w:rPr>
        <w:t>登革热“脑”型（   ）</w:t>
      </w:r>
    </w:p>
    <w:p>
      <w:pPr>
        <w:widowControl/>
        <w:spacing w:line="300" w:lineRule="auto"/>
        <w:jc w:val="left"/>
        <w:rPr>
          <w:rFonts w:ascii="仿宋" w:hAnsi="仿宋" w:eastAsia="仿宋" w:cs="仿宋"/>
          <w:sz w:val="30"/>
          <w:szCs w:val="30"/>
        </w:rPr>
      </w:pPr>
      <w:r>
        <w:rPr>
          <w:rFonts w:hint="eastAsia" w:ascii="仿宋" w:hAnsi="仿宋" w:eastAsia="仿宋" w:cs="仿宋"/>
          <w:sz w:val="30"/>
          <w:szCs w:val="30"/>
        </w:rPr>
        <w:t xml:space="preserve">    登革热疫（   ）</w:t>
      </w:r>
    </w:p>
    <w:p>
      <w:pPr>
        <w:spacing w:line="300" w:lineRule="auto"/>
        <w:ind w:firstLine="600" w:firstLineChars="200"/>
        <w:rPr>
          <w:rFonts w:ascii="仿宋" w:hAnsi="仿宋" w:eastAsia="仿宋" w:cs="仿宋"/>
          <w:b/>
          <w:bCs/>
          <w:sz w:val="30"/>
          <w:szCs w:val="30"/>
        </w:rPr>
      </w:pPr>
      <w:r>
        <w:rPr>
          <w:rFonts w:hint="eastAsia" w:ascii="仿宋" w:hAnsi="仿宋" w:eastAsia="仿宋" w:cs="仿宋"/>
          <w:sz w:val="30"/>
          <w:szCs w:val="30"/>
        </w:rPr>
        <w:t>您认为其他的检索词：</w:t>
      </w:r>
      <w:r>
        <w:rPr>
          <w:rFonts w:hint="eastAsia" w:ascii="仿宋" w:hAnsi="仿宋" w:eastAsia="仿宋" w:cs="仿宋"/>
          <w:sz w:val="30"/>
          <w:szCs w:val="30"/>
          <w:u w:val="single"/>
        </w:rPr>
        <w:t xml:space="preserve">                                              </w:t>
      </w:r>
    </w:p>
    <w:p>
      <w:pPr>
        <w:spacing w:line="300" w:lineRule="auto"/>
        <w:ind w:firstLine="590" w:firstLineChars="196"/>
        <w:rPr>
          <w:rFonts w:ascii="仿宋" w:hAnsi="仿宋" w:eastAsia="仿宋" w:cs="仿宋"/>
          <w:sz w:val="30"/>
          <w:szCs w:val="30"/>
        </w:rPr>
      </w:pPr>
      <w:r>
        <w:rPr>
          <w:rFonts w:hint="eastAsia" w:ascii="仿宋" w:hAnsi="仿宋" w:eastAsia="仿宋" w:cs="仿宋"/>
          <w:b/>
          <w:bCs/>
          <w:sz w:val="30"/>
          <w:szCs w:val="30"/>
        </w:rPr>
        <w:t>2.古代文献检索词</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天狗热（  ）    暑燥疫（  ）    伏温（  ）</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暑热疫（  ）    断骨热（  ）    暑温（疫）（ ）</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伏暑（  ）      湿热疫（  ）    暑湿挟疫（  ）</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疫疹（  ）      湿温（疫）（  ） 热疫（  ）</w:t>
      </w:r>
    </w:p>
    <w:p>
      <w:pPr>
        <w:spacing w:line="300" w:lineRule="auto"/>
        <w:ind w:firstLine="600" w:firstLineChars="200"/>
        <w:rPr>
          <w:rFonts w:ascii="仿宋" w:hAnsi="仿宋" w:eastAsia="仿宋" w:cs="仿宋"/>
          <w:sz w:val="30"/>
          <w:szCs w:val="30"/>
        </w:rPr>
      </w:pPr>
      <w:r>
        <w:rPr>
          <w:rFonts w:hint="eastAsia" w:ascii="仿宋" w:hAnsi="仿宋" w:eastAsia="仿宋" w:cs="仿宋"/>
          <w:sz w:val="30"/>
          <w:szCs w:val="30"/>
        </w:rPr>
        <w:t>暑湿疫（  ）</w:t>
      </w:r>
    </w:p>
    <w:p>
      <w:pPr>
        <w:spacing w:line="300" w:lineRule="auto"/>
        <w:ind w:firstLine="480"/>
        <w:rPr>
          <w:rFonts w:ascii="仿宋" w:hAnsi="仿宋" w:eastAsia="仿宋" w:cs="仿宋"/>
          <w:sz w:val="30"/>
          <w:szCs w:val="30"/>
        </w:rPr>
      </w:pPr>
      <w:r>
        <w:rPr>
          <w:rFonts w:hint="eastAsia" w:ascii="仿宋" w:hAnsi="仿宋" w:eastAsia="仿宋" w:cs="仿宋"/>
          <w:sz w:val="30"/>
          <w:szCs w:val="30"/>
        </w:rPr>
        <w:t>您认为其他的检索词：</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p>
    <w:p>
      <w:pPr>
        <w:spacing w:line="300" w:lineRule="auto"/>
        <w:rPr>
          <w:rFonts w:ascii="仿宋" w:hAnsi="仿宋" w:eastAsia="仿宋" w:cs="仿宋"/>
          <w:sz w:val="30"/>
          <w:szCs w:val="30"/>
        </w:rPr>
      </w:pPr>
      <w:r>
        <w:rPr>
          <w:rFonts w:hint="eastAsia" w:ascii="仿宋" w:hAnsi="仿宋" w:eastAsia="仿宋" w:cs="仿宋"/>
          <w:sz w:val="30"/>
          <w:szCs w:val="30"/>
        </w:rPr>
        <w:t xml:space="preserve">                                            </w:t>
      </w:r>
    </w:p>
    <w:p>
      <w:pPr>
        <w:spacing w:line="300" w:lineRule="auto"/>
        <w:rPr>
          <w:rFonts w:ascii="仿宋" w:hAnsi="仿宋" w:eastAsia="仿宋" w:cs="仿宋"/>
          <w:sz w:val="30"/>
          <w:szCs w:val="30"/>
        </w:rPr>
      </w:pPr>
      <w:r>
        <w:rPr>
          <w:rFonts w:hint="eastAsia" w:ascii="仿宋" w:hAnsi="仿宋" w:eastAsia="仿宋" w:cs="仿宋"/>
          <w:sz w:val="30"/>
          <w:szCs w:val="30"/>
        </w:rPr>
        <w:t xml:space="preserve">                                签名：</w:t>
      </w:r>
    </w:p>
    <w:p>
      <w:pPr>
        <w:spacing w:line="300" w:lineRule="auto"/>
        <w:rPr>
          <w:rFonts w:ascii="仿宋" w:hAnsi="仿宋" w:eastAsia="仿宋" w:cs="仿宋"/>
          <w:sz w:val="30"/>
          <w:szCs w:val="30"/>
        </w:rPr>
      </w:pPr>
      <w:r>
        <w:rPr>
          <w:rFonts w:hint="eastAsia" w:ascii="仿宋" w:hAnsi="仿宋" w:eastAsia="仿宋" w:cs="仿宋"/>
          <w:sz w:val="30"/>
          <w:szCs w:val="30"/>
        </w:rPr>
        <w:t xml:space="preserve">                                时间：  年  月   日</w:t>
      </w:r>
    </w:p>
    <w:p>
      <w:pPr>
        <w:outlineLvl w:val="2"/>
        <w:rPr>
          <w:rFonts w:ascii="仿宋" w:hAnsi="仿宋" w:eastAsia="仿宋" w:cs="仿宋"/>
          <w:b/>
          <w:bCs/>
          <w:sz w:val="30"/>
          <w:szCs w:val="30"/>
        </w:rPr>
      </w:pPr>
      <w:r>
        <w:rPr>
          <w:rFonts w:hint="eastAsia" w:ascii="仿宋" w:hAnsi="仿宋" w:eastAsia="仿宋" w:cs="仿宋"/>
          <w:b/>
          <w:bCs/>
          <w:sz w:val="30"/>
          <w:szCs w:val="30"/>
        </w:rPr>
        <w:t>1.2 中医临床诊疗指南应用评价病例调查表</w:t>
      </w:r>
    </w:p>
    <w:p>
      <w:pPr>
        <w:snapToGrid w:val="0"/>
        <w:spacing w:line="300" w:lineRule="auto"/>
      </w:pPr>
    </w:p>
    <w:p>
      <w:pPr>
        <w:snapToGrid w:val="0"/>
        <w:spacing w:line="300" w:lineRule="auto"/>
        <w:rPr>
          <w:rFonts w:ascii="宋体"/>
          <w:sz w:val="32"/>
          <w:szCs w:val="32"/>
        </w:rPr>
      </w:pPr>
      <w:r>
        <w:t xml:space="preserve">                                                                  </w:t>
      </w:r>
      <w:r>
        <w:rPr>
          <w:rFonts w:hint="eastAsia"/>
        </w:rPr>
        <w:t>编号：</w:t>
      </w:r>
      <w:r>
        <w:rPr>
          <w:szCs w:val="20"/>
        </w:rPr>
        <w:sym w:font="Wingdings" w:char="F0A8"/>
      </w:r>
      <w:r>
        <w:rPr>
          <w:szCs w:val="20"/>
        </w:rPr>
        <w:sym w:font="Wingdings" w:char="F0A8"/>
      </w:r>
      <w:r>
        <w:rPr>
          <w:szCs w:val="20"/>
        </w:rPr>
        <w:sym w:font="Wingdings" w:char="F0A8"/>
      </w:r>
      <w:r>
        <w:rPr>
          <w:szCs w:val="20"/>
        </w:rPr>
        <w:sym w:font="Wingdings" w:char="F0A8"/>
      </w:r>
    </w:p>
    <w:tbl>
      <w:tblPr>
        <w:tblStyle w:val="9"/>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6"/>
        <w:gridCol w:w="2869"/>
        <w:gridCol w:w="3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060" w:type="dxa"/>
            <w:gridSpan w:val="3"/>
            <w:vAlign w:val="center"/>
          </w:tcPr>
          <w:p>
            <w:pPr>
              <w:pStyle w:val="11"/>
              <w:snapToGrid w:val="0"/>
              <w:spacing w:line="300" w:lineRule="auto"/>
              <w:ind w:firstLine="0" w:firstLineChars="0"/>
            </w:pPr>
            <w:r>
              <w:rPr>
                <w:rFonts w:hint="eastAsia"/>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Align w:val="center"/>
          </w:tcPr>
          <w:p>
            <w:pPr>
              <w:pStyle w:val="11"/>
              <w:snapToGrid w:val="0"/>
              <w:spacing w:line="300" w:lineRule="auto"/>
              <w:ind w:firstLine="0" w:firstLineChars="0"/>
            </w:pPr>
            <w:r>
              <w:rPr>
                <w:rFonts w:hint="eastAsia"/>
              </w:rPr>
              <w:t>填写单位（人员）信息</w:t>
            </w:r>
          </w:p>
        </w:tc>
        <w:tc>
          <w:tcPr>
            <w:tcW w:w="6854" w:type="dxa"/>
            <w:gridSpan w:val="2"/>
            <w:vAlign w:val="center"/>
          </w:tcPr>
          <w:p>
            <w:pPr>
              <w:pStyle w:val="11"/>
              <w:snapToGrid w:val="0"/>
              <w:spacing w:line="300" w:lineRule="auto"/>
              <w:ind w:left="81" w:firstLine="0" w:firstLineChars="0"/>
              <w:rPr>
                <w:u w:val="single"/>
              </w:rPr>
            </w:pPr>
            <w:r>
              <w:rPr>
                <w:rFonts w:hint="eastAsia"/>
              </w:rPr>
              <w:t>病种名称：</w:t>
            </w:r>
            <w:r>
              <w:rPr>
                <w:u w:val="single"/>
              </w:rPr>
              <w:t xml:space="preserve">           </w:t>
            </w:r>
            <w:r>
              <w:t xml:space="preserve">    </w:t>
            </w:r>
            <w:r>
              <w:rPr>
                <w:rFonts w:hint="eastAsia"/>
              </w:rPr>
              <w:t>指南名称：</w:t>
            </w:r>
            <w:r>
              <w:rPr>
                <w:u w:val="single"/>
              </w:rPr>
              <w:t xml:space="preserve">                            </w:t>
            </w:r>
          </w:p>
          <w:p>
            <w:pPr>
              <w:pStyle w:val="11"/>
              <w:snapToGrid w:val="0"/>
              <w:spacing w:line="300" w:lineRule="auto"/>
              <w:ind w:left="81" w:firstLine="0" w:firstLineChars="0"/>
              <w:rPr>
                <w:u w:val="single"/>
              </w:rPr>
            </w:pPr>
            <w:r>
              <w:rPr>
                <w:rFonts w:hint="eastAsia"/>
              </w:rPr>
              <w:t>填写单位：</w:t>
            </w:r>
            <w:r>
              <w:rPr>
                <w:u w:val="single"/>
              </w:rPr>
              <w:t xml:space="preserve">                                   </w:t>
            </w:r>
          </w:p>
          <w:p>
            <w:pPr>
              <w:pStyle w:val="11"/>
              <w:snapToGrid w:val="0"/>
              <w:spacing w:line="300" w:lineRule="auto"/>
              <w:ind w:left="81" w:firstLine="0" w:firstLineChars="0"/>
            </w:pPr>
            <w:r>
              <w:rPr>
                <w:rFonts w:hint="eastAsia" w:ascii="Calibri"/>
              </w:rPr>
              <w:t>填写日期</w:t>
            </w:r>
            <w:r>
              <w:rPr>
                <w:rFonts w:hint="eastAsia"/>
              </w:rPr>
              <w:t>：</w:t>
            </w:r>
            <w:r>
              <w:rPr>
                <w:rFonts w:hint="eastAsia" w:hAnsi="Wingdings"/>
                <w:szCs w:val="20"/>
              </w:rPr>
              <w:sym w:font="Wingdings" w:char="F0A8"/>
            </w:r>
            <w:r>
              <w:rPr>
                <w:rFonts w:hint="eastAsia" w:hAnsi="Wingdings"/>
                <w:szCs w:val="20"/>
              </w:rPr>
              <w:sym w:font="Wingdings" w:char="F0A8"/>
            </w:r>
            <w:r>
              <w:rPr>
                <w:rFonts w:hint="eastAsia" w:hAnsi="Wingdings"/>
                <w:szCs w:val="20"/>
              </w:rPr>
              <w:sym w:font="Wingdings" w:char="F0A8"/>
            </w:r>
            <w:r>
              <w:rPr>
                <w:rFonts w:hint="eastAsia" w:hAnsi="Wingdings"/>
                <w:szCs w:val="20"/>
              </w:rPr>
              <w:sym w:font="Wingdings" w:char="F0A8"/>
            </w:r>
            <w:r>
              <w:rPr>
                <w:rFonts w:hint="eastAsia"/>
              </w:rPr>
              <w:t>年</w:t>
            </w:r>
            <w:r>
              <w:rPr>
                <w:rFonts w:hint="eastAsia" w:hAnsi="Wingdings"/>
                <w:szCs w:val="20"/>
              </w:rPr>
              <w:sym w:font="Wingdings" w:char="F0A8"/>
            </w:r>
            <w:r>
              <w:rPr>
                <w:rFonts w:hint="eastAsia" w:hAnsi="Wingdings"/>
                <w:szCs w:val="20"/>
              </w:rPr>
              <w:sym w:font="Wingdings" w:char="F0A8"/>
            </w:r>
            <w:r>
              <w:rPr>
                <w:rFonts w:hint="eastAsia"/>
              </w:rPr>
              <w:t>月</w:t>
            </w:r>
            <w:r>
              <w:rPr>
                <w:rFonts w:hint="eastAsia" w:hAnsi="Wingdings"/>
                <w:szCs w:val="20"/>
              </w:rPr>
              <w:sym w:font="Wingdings" w:char="F0A8"/>
            </w:r>
            <w:r>
              <w:rPr>
                <w:rFonts w:hint="eastAsia" w:hAnsi="Wingdings"/>
                <w:szCs w:val="20"/>
              </w:rPr>
              <w:sym w:font="Wingdings" w:char="F0A8"/>
            </w:r>
            <w:r>
              <w:rPr>
                <w:rFonts w:hint="eastAsia"/>
              </w:rPr>
              <w:t>日</w:t>
            </w:r>
          </w:p>
          <w:p>
            <w:pPr>
              <w:pStyle w:val="11"/>
              <w:snapToGrid w:val="0"/>
              <w:spacing w:line="300" w:lineRule="auto"/>
              <w:ind w:left="81" w:firstLine="0" w:firstLineChars="0"/>
            </w:pPr>
            <w:r>
              <w:rPr>
                <w:rFonts w:hint="eastAsia"/>
              </w:rPr>
              <w:t>填写人员：</w:t>
            </w:r>
            <w:r>
              <w:rPr>
                <w:u w:val="single"/>
              </w:rPr>
              <w:t xml:space="preserve">            </w:t>
            </w:r>
            <w:r>
              <w:rPr>
                <w:rFonts w:hint="eastAsia"/>
                <w:u w:val="single"/>
              </w:rPr>
              <w:t>（</w:t>
            </w:r>
            <w:r>
              <w:rPr>
                <w:rFonts w:hint="eastAsia"/>
              </w:rPr>
              <w:t>签名）</w:t>
            </w:r>
            <w:r>
              <w:t xml:space="preserve">     </w:t>
            </w:r>
            <w:r>
              <w:rPr>
                <w:rFonts w:hint="eastAsia"/>
              </w:rPr>
              <w:t>科室负责人：</w:t>
            </w:r>
            <w:r>
              <w:rPr>
                <w:u w:val="single"/>
              </w:rPr>
              <w:t xml:space="preserve">           </w:t>
            </w:r>
            <w:r>
              <w:rPr>
                <w:rFonts w:hint="eastAsia"/>
                <w:u w:val="single"/>
              </w:rPr>
              <w:t>（</w:t>
            </w:r>
            <w:r>
              <w:rPr>
                <w:rFonts w:hint="eastAsia"/>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2206" w:type="dxa"/>
            <w:vMerge w:val="restart"/>
            <w:vAlign w:val="center"/>
          </w:tcPr>
          <w:p>
            <w:pPr>
              <w:pStyle w:val="11"/>
              <w:snapToGrid w:val="0"/>
              <w:spacing w:line="300" w:lineRule="auto"/>
              <w:ind w:firstLine="0" w:firstLineChars="0"/>
            </w:pPr>
            <w:r>
              <w:rPr>
                <w:rFonts w:hint="eastAsia"/>
              </w:rPr>
              <w:t>病例信息</w:t>
            </w:r>
          </w:p>
        </w:tc>
        <w:tc>
          <w:tcPr>
            <w:tcW w:w="6854" w:type="dxa"/>
            <w:gridSpan w:val="2"/>
            <w:vAlign w:val="center"/>
          </w:tcPr>
          <w:p>
            <w:pPr>
              <w:pStyle w:val="11"/>
              <w:snapToGrid w:val="0"/>
              <w:spacing w:line="300" w:lineRule="auto"/>
              <w:ind w:left="81" w:firstLine="0" w:firstLineChars="0"/>
            </w:pPr>
            <w:r>
              <w:rPr>
                <w:rFonts w:hint="eastAsia"/>
              </w:rPr>
              <w:t>病历号（或门诊号）：</w:t>
            </w:r>
            <w:r>
              <w:rPr>
                <w:u w:val="single"/>
              </w:rPr>
              <w:t xml:space="preserve">           </w:t>
            </w:r>
            <w:r>
              <w:t xml:space="preserve">  </w:t>
            </w:r>
            <w:r>
              <w:rPr>
                <w:rFonts w:hint="eastAsia"/>
              </w:rPr>
              <w:t>性别：男</w:t>
            </w:r>
            <w:r>
              <w:rPr>
                <w:rFonts w:hint="eastAsia" w:hAnsi="Wingdings"/>
                <w:szCs w:val="20"/>
              </w:rPr>
              <w:sym w:font="Wingdings" w:char="F0A8"/>
            </w:r>
            <w:r>
              <w:rPr>
                <w:rFonts w:hint="eastAsia"/>
              </w:rPr>
              <w:t>女</w:t>
            </w:r>
            <w:r>
              <w:rPr>
                <w:rFonts w:hint="eastAsia" w:hAnsi="Wingdings"/>
                <w:szCs w:val="20"/>
              </w:rPr>
              <w:sym w:font="Wingdings" w:char="F0A8"/>
            </w:r>
            <w:r>
              <w:t xml:space="preserve">     </w:t>
            </w:r>
            <w:r>
              <w:rPr>
                <w:rFonts w:hint="eastAsia"/>
              </w:rPr>
              <w:t>年龄：</w:t>
            </w:r>
            <w:r>
              <w:rPr>
                <w:rFonts w:hint="eastAsia" w:hAnsi="Wingdings"/>
                <w:szCs w:val="20"/>
              </w:rPr>
              <w:sym w:font="Wingdings" w:char="F0A8"/>
            </w:r>
            <w:r>
              <w:rPr>
                <w:rFonts w:hint="eastAsia" w:hAnsi="Wingdings"/>
                <w:szCs w:val="20"/>
              </w:rPr>
              <w:sym w:font="Wingdings" w:char="F0A8"/>
            </w:r>
            <w:r>
              <w:rPr>
                <w:rFonts w:hint="eastAsia" w:hAnsi="Wingdings"/>
                <w:szCs w:val="20"/>
              </w:rPr>
              <w:sym w:font="Wingdings" w:char="F0A8"/>
            </w:r>
            <w:r>
              <w:rPr>
                <w:rFonts w:hint="eastAsia"/>
              </w:rPr>
              <w:t>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jc w:val="center"/>
        </w:trPr>
        <w:tc>
          <w:tcPr>
            <w:tcW w:w="2206" w:type="dxa"/>
            <w:vMerge w:val="continue"/>
            <w:vAlign w:val="center"/>
          </w:tcPr>
          <w:p>
            <w:pPr>
              <w:pStyle w:val="11"/>
              <w:snapToGrid w:val="0"/>
              <w:spacing w:line="300" w:lineRule="auto"/>
            </w:pPr>
          </w:p>
        </w:tc>
        <w:tc>
          <w:tcPr>
            <w:tcW w:w="6854" w:type="dxa"/>
            <w:gridSpan w:val="2"/>
            <w:vAlign w:val="center"/>
          </w:tcPr>
          <w:p>
            <w:pPr>
              <w:pStyle w:val="11"/>
              <w:snapToGrid w:val="0"/>
              <w:spacing w:line="300" w:lineRule="auto"/>
              <w:ind w:left="79" w:firstLine="0" w:firstLineChars="0"/>
              <w:rPr>
                <w:u w:val="single"/>
              </w:rPr>
            </w:pPr>
            <w:r>
              <w:rPr>
                <w:rFonts w:hint="eastAsia"/>
              </w:rPr>
              <w:t>主诉：</w:t>
            </w:r>
            <w:r>
              <w:rPr>
                <w:u w:val="single"/>
              </w:rPr>
              <w:t xml:space="preserve">                                                                 </w:t>
            </w:r>
          </w:p>
          <w:p>
            <w:pPr>
              <w:pStyle w:val="11"/>
              <w:snapToGrid w:val="0"/>
              <w:spacing w:line="300" w:lineRule="auto"/>
              <w:ind w:left="79" w:firstLine="0" w:firstLineChars="0"/>
            </w:pPr>
            <w:r>
              <w:rPr>
                <w:rFonts w:hint="eastAsia"/>
              </w:rPr>
              <w:t>现病史：</w:t>
            </w:r>
            <w:r>
              <w:rPr>
                <w:u w:val="single"/>
              </w:rPr>
              <w:t xml:space="preserve">                                                               </w:t>
            </w:r>
            <w:r>
              <w:t xml:space="preserve">                                                                        </w:t>
            </w:r>
          </w:p>
          <w:p>
            <w:pPr>
              <w:pStyle w:val="11"/>
              <w:snapToGrid w:val="0"/>
              <w:spacing w:line="300" w:lineRule="auto"/>
              <w:ind w:left="79" w:firstLine="0" w:firstLineChars="0"/>
              <w:rPr>
                <w:u w:val="single"/>
              </w:rPr>
            </w:pPr>
            <w:r>
              <w:rPr>
                <w:u w:val="single"/>
              </w:rPr>
              <w:t xml:space="preserve">                                                                  </w:t>
            </w:r>
          </w:p>
          <w:p>
            <w:pPr>
              <w:pStyle w:val="11"/>
              <w:snapToGrid w:val="0"/>
              <w:spacing w:line="300" w:lineRule="auto"/>
              <w:ind w:left="79" w:firstLine="0" w:firstLineChars="0"/>
              <w:rPr>
                <w:u w:val="single"/>
              </w:rPr>
            </w:pPr>
            <w:r>
              <w:rPr>
                <w:u w:val="single"/>
              </w:rPr>
              <w:t xml:space="preserve">                                                                  </w:t>
            </w:r>
          </w:p>
          <w:p>
            <w:pPr>
              <w:pStyle w:val="11"/>
              <w:snapToGrid w:val="0"/>
              <w:spacing w:line="300" w:lineRule="auto"/>
              <w:ind w:left="79" w:firstLine="0" w:firstLineChars="0"/>
              <w:rPr>
                <w:u w:val="single"/>
              </w:rPr>
            </w:pPr>
            <w:r>
              <w:rPr>
                <w:u w:val="single"/>
              </w:rPr>
              <w:t xml:space="preserve">                                                                  </w:t>
            </w:r>
          </w:p>
          <w:p>
            <w:pPr>
              <w:pStyle w:val="11"/>
              <w:snapToGrid w:val="0"/>
              <w:spacing w:line="300" w:lineRule="auto"/>
              <w:ind w:left="79" w:firstLine="0" w:firstLineChars="0"/>
              <w:rPr>
                <w:u w:val="single"/>
              </w:rPr>
            </w:pPr>
            <w:r>
              <w:rPr>
                <w:u w:val="single"/>
              </w:rPr>
              <w:t xml:space="preserve">                                                                       </w:t>
            </w:r>
          </w:p>
          <w:p>
            <w:pPr>
              <w:pStyle w:val="11"/>
              <w:snapToGrid w:val="0"/>
              <w:spacing w:line="300" w:lineRule="auto"/>
              <w:ind w:left="79" w:firstLine="0" w:firstLineChars="0"/>
              <w:rPr>
                <w:u w:val="single"/>
              </w:rPr>
            </w:pPr>
            <w:r>
              <w:rPr>
                <w:rFonts w:hint="eastAsia"/>
              </w:rPr>
              <w:t>体检：</w:t>
            </w:r>
            <w:r>
              <w:rPr>
                <w:u w:val="single"/>
              </w:rPr>
              <w:t xml:space="preserve">                                                            </w:t>
            </w:r>
          </w:p>
          <w:p>
            <w:pPr>
              <w:pStyle w:val="11"/>
              <w:snapToGrid w:val="0"/>
              <w:spacing w:line="300" w:lineRule="auto"/>
              <w:ind w:left="79" w:firstLine="0" w:firstLineChars="0"/>
              <w:rPr>
                <w:u w:val="single"/>
              </w:rPr>
            </w:pPr>
            <w:r>
              <w:rPr>
                <w:u w:val="single"/>
              </w:rPr>
              <w:t xml:space="preserve">                                                                  </w:t>
            </w:r>
          </w:p>
          <w:p>
            <w:pPr>
              <w:pStyle w:val="11"/>
              <w:snapToGrid w:val="0"/>
              <w:spacing w:line="300" w:lineRule="auto"/>
              <w:ind w:left="79" w:firstLine="0" w:firstLineChars="0"/>
              <w:rPr>
                <w:u w:val="single"/>
              </w:rPr>
            </w:pPr>
            <w:r>
              <w:rPr>
                <w:rFonts w:hint="eastAsia"/>
              </w:rPr>
              <w:t>辅助检查：</w:t>
            </w:r>
            <w:r>
              <w:rPr>
                <w:u w:val="single"/>
              </w:rPr>
              <w:t xml:space="preserve">                                                        </w:t>
            </w:r>
          </w:p>
          <w:p>
            <w:pPr>
              <w:pStyle w:val="11"/>
              <w:snapToGrid w:val="0"/>
              <w:spacing w:line="300" w:lineRule="auto"/>
              <w:ind w:left="79" w:firstLine="0" w:firstLineChars="0"/>
              <w:rPr>
                <w:u w:val="single"/>
              </w:rPr>
            </w:pP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Align w:val="center"/>
          </w:tcPr>
          <w:p>
            <w:pPr>
              <w:pStyle w:val="11"/>
              <w:snapToGrid w:val="0"/>
              <w:spacing w:line="300" w:lineRule="auto"/>
              <w:ind w:firstLine="0" w:firstLineChars="0"/>
            </w:pPr>
            <w:r>
              <w:rPr>
                <w:rFonts w:hint="eastAsia"/>
              </w:rPr>
              <w:t>二、诊断</w:t>
            </w:r>
          </w:p>
        </w:tc>
        <w:tc>
          <w:tcPr>
            <w:tcW w:w="2869" w:type="dxa"/>
            <w:vAlign w:val="center"/>
          </w:tcPr>
          <w:p>
            <w:pPr>
              <w:pStyle w:val="11"/>
              <w:snapToGrid w:val="0"/>
              <w:spacing w:line="300" w:lineRule="auto"/>
              <w:ind w:firstLine="0" w:firstLineChars="0"/>
            </w:pPr>
            <w:r>
              <w:rPr>
                <w:rFonts w:hint="eastAsia"/>
              </w:rPr>
              <w:t>病例信息提取</w:t>
            </w:r>
          </w:p>
        </w:tc>
        <w:tc>
          <w:tcPr>
            <w:tcW w:w="3985" w:type="dxa"/>
            <w:vAlign w:val="center"/>
          </w:tcPr>
          <w:p>
            <w:pPr>
              <w:pStyle w:val="11"/>
              <w:snapToGrid w:val="0"/>
              <w:spacing w:line="300" w:lineRule="auto"/>
              <w:ind w:firstLine="0" w:firstLineChars="0"/>
            </w:pPr>
            <w:r>
              <w:rPr>
                <w:rFonts w:hint="eastAsia"/>
              </w:rPr>
              <w:t>一致性测试（与指南内同比较）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Merge w:val="restart"/>
            <w:vAlign w:val="center"/>
          </w:tcPr>
          <w:p>
            <w:pPr>
              <w:pStyle w:val="11"/>
              <w:snapToGrid w:val="0"/>
              <w:spacing w:line="300" w:lineRule="auto"/>
              <w:ind w:firstLine="0" w:firstLineChars="0"/>
            </w:pPr>
            <w:r>
              <w:rPr>
                <w:rFonts w:hint="eastAsia"/>
              </w:rPr>
              <w:t>（一）中医疾病</w:t>
            </w:r>
          </w:p>
        </w:tc>
        <w:tc>
          <w:tcPr>
            <w:tcW w:w="2869" w:type="dxa"/>
            <w:vAlign w:val="bottom"/>
          </w:tcPr>
          <w:p>
            <w:pPr>
              <w:pStyle w:val="11"/>
              <w:snapToGrid w:val="0"/>
              <w:spacing w:line="300" w:lineRule="auto"/>
              <w:ind w:firstLine="0" w:firstLineChars="0"/>
            </w:pPr>
            <w:r>
              <w:t>1.</w:t>
            </w:r>
            <w:r>
              <w:rPr>
                <w:rFonts w:hint="eastAsia"/>
              </w:rPr>
              <w:t>中医疾病诊断（第一诊断）：</w:t>
            </w:r>
          </w:p>
          <w:p>
            <w:pPr>
              <w:pStyle w:val="11"/>
              <w:snapToGrid w:val="0"/>
              <w:spacing w:line="300" w:lineRule="auto"/>
              <w:rPr>
                <w:u w:val="single"/>
              </w:rPr>
            </w:pPr>
          </w:p>
          <w:p>
            <w:pPr>
              <w:pStyle w:val="11"/>
              <w:snapToGrid w:val="0"/>
              <w:spacing w:line="300" w:lineRule="auto"/>
              <w:rPr>
                <w:u w:val="single"/>
              </w:rPr>
            </w:pPr>
            <w:r>
              <w:rPr>
                <w:u w:val="single"/>
              </w:rPr>
              <w:t xml:space="preserve">                      </w:t>
            </w:r>
          </w:p>
          <w:p>
            <w:pPr>
              <w:pStyle w:val="11"/>
              <w:snapToGrid w:val="0"/>
              <w:spacing w:line="300" w:lineRule="auto"/>
              <w:rPr>
                <w:u w:val="single"/>
              </w:rPr>
            </w:pP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rPr>
                <w:u w:val="single"/>
              </w:rPr>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Merge w:val="continue"/>
            <w:vAlign w:val="center"/>
          </w:tcPr>
          <w:p>
            <w:pPr>
              <w:pStyle w:val="11"/>
              <w:snapToGrid w:val="0"/>
              <w:spacing w:line="300" w:lineRule="auto"/>
            </w:pPr>
          </w:p>
        </w:tc>
        <w:tc>
          <w:tcPr>
            <w:tcW w:w="2869" w:type="dxa"/>
            <w:vAlign w:val="bottom"/>
          </w:tcPr>
          <w:p>
            <w:pPr>
              <w:pStyle w:val="11"/>
              <w:snapToGrid w:val="0"/>
              <w:spacing w:line="300" w:lineRule="auto"/>
              <w:ind w:firstLine="0" w:firstLineChars="0"/>
            </w:pPr>
            <w:r>
              <w:t>2.</w:t>
            </w:r>
            <w:r>
              <w:rPr>
                <w:rFonts w:hint="eastAsia"/>
              </w:rPr>
              <w:t>中医疾病诊断依据（要点）：</w:t>
            </w:r>
          </w:p>
          <w:p>
            <w:pPr>
              <w:pStyle w:val="11"/>
              <w:snapToGrid w:val="0"/>
              <w:spacing w:line="300" w:lineRule="auto"/>
              <w:rPr>
                <w:u w:val="single"/>
              </w:rPr>
            </w:pPr>
          </w:p>
          <w:p>
            <w:pPr>
              <w:pStyle w:val="11"/>
              <w:snapToGrid w:val="0"/>
              <w:spacing w:line="300" w:lineRule="auto"/>
              <w:rPr>
                <w:u w:val="single"/>
              </w:rPr>
            </w:pPr>
            <w:r>
              <w:rPr>
                <w:u w:val="single"/>
              </w:rPr>
              <w:t xml:space="preserve">                      </w:t>
            </w:r>
          </w:p>
          <w:p>
            <w:pPr>
              <w:pStyle w:val="11"/>
              <w:snapToGrid w:val="0"/>
              <w:spacing w:line="300" w:lineRule="auto"/>
            </w:pP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Merge w:val="restart"/>
            <w:vAlign w:val="center"/>
          </w:tcPr>
          <w:p>
            <w:pPr>
              <w:pStyle w:val="11"/>
              <w:snapToGrid w:val="0"/>
              <w:spacing w:line="300" w:lineRule="auto"/>
              <w:ind w:firstLine="0" w:firstLineChars="0"/>
            </w:pPr>
            <w:r>
              <w:rPr>
                <w:rFonts w:hint="eastAsia"/>
              </w:rPr>
              <w:t>（二）西医疾病</w:t>
            </w:r>
          </w:p>
        </w:tc>
        <w:tc>
          <w:tcPr>
            <w:tcW w:w="2869" w:type="dxa"/>
            <w:vAlign w:val="center"/>
          </w:tcPr>
          <w:p>
            <w:pPr>
              <w:pStyle w:val="11"/>
              <w:snapToGrid w:val="0"/>
              <w:spacing w:line="300" w:lineRule="auto"/>
              <w:ind w:firstLine="0" w:firstLineChars="0"/>
            </w:pPr>
            <w:r>
              <w:t>1.</w:t>
            </w:r>
            <w:r>
              <w:rPr>
                <w:rFonts w:hint="eastAsia"/>
              </w:rPr>
              <w:t>西医疾病诊断（第一诊断）：</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rPr>
                <w:u w:val="single"/>
              </w:rPr>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Merge w:val="continue"/>
            <w:vAlign w:val="center"/>
          </w:tcPr>
          <w:p>
            <w:pPr>
              <w:pStyle w:val="11"/>
              <w:snapToGrid w:val="0"/>
              <w:spacing w:line="300" w:lineRule="auto"/>
            </w:pPr>
          </w:p>
        </w:tc>
        <w:tc>
          <w:tcPr>
            <w:tcW w:w="2869" w:type="dxa"/>
            <w:vAlign w:val="center"/>
          </w:tcPr>
          <w:p>
            <w:pPr>
              <w:pStyle w:val="11"/>
              <w:snapToGrid w:val="0"/>
              <w:spacing w:line="300" w:lineRule="auto"/>
              <w:ind w:firstLine="0" w:firstLineChars="0"/>
            </w:pPr>
            <w:r>
              <w:t>2.</w:t>
            </w:r>
            <w:r>
              <w:rPr>
                <w:rFonts w:hint="eastAsia"/>
              </w:rPr>
              <w:t>西医疾病诊断依据：</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rPr>
                <w:u w:val="single"/>
              </w:rPr>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Merge w:val="restart"/>
            <w:vAlign w:val="center"/>
          </w:tcPr>
          <w:p>
            <w:pPr>
              <w:pStyle w:val="11"/>
              <w:snapToGrid w:val="0"/>
              <w:spacing w:line="300" w:lineRule="auto"/>
              <w:ind w:firstLine="0" w:firstLineChars="0"/>
            </w:pPr>
            <w:r>
              <w:rPr>
                <w:rFonts w:hint="eastAsia"/>
              </w:rPr>
              <w:t>（三）辨证分类</w:t>
            </w:r>
          </w:p>
        </w:tc>
        <w:tc>
          <w:tcPr>
            <w:tcW w:w="2869" w:type="dxa"/>
            <w:vAlign w:val="center"/>
          </w:tcPr>
          <w:p>
            <w:pPr>
              <w:pStyle w:val="11"/>
              <w:snapToGrid w:val="0"/>
              <w:spacing w:line="300" w:lineRule="auto"/>
              <w:ind w:firstLine="0" w:firstLineChars="0"/>
            </w:pPr>
            <w:r>
              <w:t>1.</w:t>
            </w:r>
            <w:r>
              <w:rPr>
                <w:rFonts w:hint="eastAsia"/>
              </w:rPr>
              <w:t>证候诊断（第一诊断）：</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2206" w:type="dxa"/>
            <w:vMerge w:val="continue"/>
            <w:vAlign w:val="center"/>
          </w:tcPr>
          <w:p>
            <w:pPr>
              <w:pStyle w:val="11"/>
              <w:snapToGrid w:val="0"/>
              <w:spacing w:line="300" w:lineRule="auto"/>
            </w:pPr>
          </w:p>
        </w:tc>
        <w:tc>
          <w:tcPr>
            <w:tcW w:w="2869" w:type="dxa"/>
            <w:vAlign w:val="center"/>
          </w:tcPr>
          <w:p>
            <w:pPr>
              <w:pStyle w:val="11"/>
              <w:snapToGrid w:val="0"/>
              <w:spacing w:line="300" w:lineRule="auto"/>
              <w:ind w:firstLine="0" w:firstLineChars="0"/>
            </w:pPr>
            <w:r>
              <w:t>2.</w:t>
            </w:r>
            <w:r>
              <w:rPr>
                <w:rFonts w:hint="eastAsia"/>
              </w:rPr>
              <w:t>证候诊断依据：</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060" w:type="dxa"/>
            <w:gridSpan w:val="3"/>
            <w:vAlign w:val="center"/>
          </w:tcPr>
          <w:p>
            <w:pPr>
              <w:pStyle w:val="11"/>
              <w:snapToGrid w:val="0"/>
              <w:spacing w:line="300" w:lineRule="auto"/>
              <w:ind w:firstLine="0" w:firstLineChars="0"/>
            </w:pPr>
            <w:r>
              <w:rPr>
                <w:rFonts w:hint="eastAsia"/>
              </w:rPr>
              <w:t>三、治疗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Align w:val="center"/>
          </w:tcPr>
          <w:p>
            <w:pPr>
              <w:pStyle w:val="11"/>
              <w:snapToGrid w:val="0"/>
              <w:spacing w:line="300" w:lineRule="auto"/>
              <w:ind w:firstLine="0" w:firstLineChars="0"/>
            </w:pPr>
            <w:r>
              <w:rPr>
                <w:rFonts w:hint="eastAsia"/>
              </w:rPr>
              <w:t>（一）治则</w:t>
            </w:r>
          </w:p>
        </w:tc>
        <w:tc>
          <w:tcPr>
            <w:tcW w:w="2869" w:type="dxa"/>
            <w:vAlign w:val="center"/>
          </w:tcPr>
          <w:p>
            <w:pPr>
              <w:pStyle w:val="11"/>
              <w:snapToGrid w:val="0"/>
              <w:spacing w:line="300" w:lineRule="auto"/>
              <w:ind w:firstLine="0" w:firstLineChars="0"/>
              <w:rPr>
                <w:u w:val="single"/>
              </w:rPr>
            </w:pPr>
            <w:r>
              <w:rPr>
                <w:rFonts w:hint="eastAsia"/>
              </w:rPr>
              <w:t>治则：</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2206" w:type="dxa"/>
            <w:vMerge w:val="restart"/>
            <w:vAlign w:val="center"/>
          </w:tcPr>
          <w:p>
            <w:pPr>
              <w:pStyle w:val="11"/>
              <w:snapToGrid w:val="0"/>
              <w:spacing w:line="300" w:lineRule="auto"/>
              <w:ind w:firstLine="0" w:firstLineChars="0"/>
            </w:pPr>
            <w:r>
              <w:rPr>
                <w:rFonts w:hint="eastAsia"/>
              </w:rPr>
              <w:t>（二）方药</w:t>
            </w:r>
          </w:p>
        </w:tc>
        <w:tc>
          <w:tcPr>
            <w:tcW w:w="2869" w:type="dxa"/>
            <w:vAlign w:val="center"/>
          </w:tcPr>
          <w:p>
            <w:pPr>
              <w:pStyle w:val="11"/>
              <w:snapToGrid w:val="0"/>
              <w:spacing w:line="300" w:lineRule="auto"/>
              <w:ind w:firstLine="0" w:firstLineChars="0"/>
            </w:pPr>
            <w:r>
              <w:t>1.</w:t>
            </w:r>
            <w:r>
              <w:rPr>
                <w:rFonts w:hint="eastAsia"/>
              </w:rPr>
              <w:t>主方：</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7" w:hRule="atLeast"/>
          <w:jc w:val="center"/>
        </w:trPr>
        <w:tc>
          <w:tcPr>
            <w:tcW w:w="2206" w:type="dxa"/>
            <w:vMerge w:val="continue"/>
            <w:vAlign w:val="center"/>
          </w:tcPr>
          <w:p>
            <w:pPr>
              <w:pStyle w:val="11"/>
              <w:snapToGrid w:val="0"/>
              <w:spacing w:line="300" w:lineRule="auto"/>
              <w:ind w:firstLine="0" w:firstLineChars="0"/>
            </w:pPr>
          </w:p>
        </w:tc>
        <w:tc>
          <w:tcPr>
            <w:tcW w:w="2869" w:type="dxa"/>
            <w:vAlign w:val="center"/>
          </w:tcPr>
          <w:p>
            <w:pPr>
              <w:pStyle w:val="11"/>
              <w:snapToGrid w:val="0"/>
              <w:spacing w:line="300" w:lineRule="auto"/>
              <w:ind w:firstLine="0" w:firstLineChars="0"/>
            </w:pPr>
            <w:r>
              <w:t>2.</w:t>
            </w:r>
            <w:r>
              <w:rPr>
                <w:rFonts w:hint="eastAsia"/>
              </w:rPr>
              <w:t>药物组成与用法：</w:t>
            </w:r>
          </w:p>
          <w:p>
            <w:pPr>
              <w:pStyle w:val="11"/>
              <w:snapToGrid w:val="0"/>
              <w:spacing w:line="300" w:lineRule="auto"/>
              <w:rPr>
                <w:u w:val="single"/>
              </w:rPr>
            </w:pPr>
          </w:p>
          <w:p>
            <w:pPr>
              <w:pStyle w:val="11"/>
              <w:snapToGrid w:val="0"/>
              <w:spacing w:line="300" w:lineRule="auto"/>
            </w:pPr>
            <w:r>
              <w:rPr>
                <w:u w:val="single"/>
              </w:rPr>
              <w:t xml:space="preserve">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7" w:hRule="atLeast"/>
          <w:jc w:val="center"/>
        </w:trPr>
        <w:tc>
          <w:tcPr>
            <w:tcW w:w="2206" w:type="dxa"/>
            <w:vAlign w:val="center"/>
          </w:tcPr>
          <w:p>
            <w:pPr>
              <w:pStyle w:val="11"/>
              <w:snapToGrid w:val="0"/>
              <w:spacing w:line="300" w:lineRule="auto"/>
              <w:ind w:firstLine="0" w:firstLineChars="0"/>
            </w:pPr>
            <w:r>
              <w:rPr>
                <w:rFonts w:hint="eastAsia"/>
              </w:rPr>
              <w:t>（三）中成药</w:t>
            </w:r>
          </w:p>
        </w:tc>
        <w:tc>
          <w:tcPr>
            <w:tcW w:w="2869" w:type="dxa"/>
            <w:vAlign w:val="center"/>
          </w:tcPr>
          <w:p>
            <w:pPr>
              <w:pStyle w:val="11"/>
              <w:snapToGrid w:val="0"/>
              <w:spacing w:line="300" w:lineRule="auto"/>
              <w:ind w:firstLine="0" w:firstLineChars="0"/>
            </w:pPr>
            <w:r>
              <w:rPr>
                <w:rFonts w:hint="eastAsia"/>
              </w:rPr>
              <w:t>中成药与用法：</w:t>
            </w:r>
          </w:p>
          <w:p>
            <w:pPr>
              <w:pStyle w:val="11"/>
              <w:snapToGrid w:val="0"/>
              <w:spacing w:line="300" w:lineRule="auto"/>
              <w:rPr>
                <w:u w:val="single"/>
              </w:rPr>
            </w:pPr>
          </w:p>
          <w:p>
            <w:pPr>
              <w:pStyle w:val="11"/>
              <w:snapToGrid w:val="0"/>
              <w:spacing w:line="300" w:lineRule="auto"/>
              <w:ind w:firstLine="0" w:firstLineChars="0"/>
            </w:pPr>
            <w:r>
              <w:rPr>
                <w:u w:val="single"/>
              </w:rPr>
              <w:t xml:space="preserve">1.                         2.                         3.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6" w:hRule="atLeast"/>
          <w:jc w:val="center"/>
        </w:trPr>
        <w:tc>
          <w:tcPr>
            <w:tcW w:w="2206" w:type="dxa"/>
            <w:vAlign w:val="center"/>
          </w:tcPr>
          <w:p>
            <w:pPr>
              <w:pStyle w:val="11"/>
              <w:snapToGrid w:val="0"/>
              <w:spacing w:line="300" w:lineRule="auto"/>
              <w:ind w:firstLine="0" w:firstLineChars="0"/>
            </w:pPr>
            <w:r>
              <w:rPr>
                <w:rFonts w:hint="eastAsia"/>
              </w:rPr>
              <w:t>（四）其他治法</w:t>
            </w:r>
          </w:p>
        </w:tc>
        <w:tc>
          <w:tcPr>
            <w:tcW w:w="2869" w:type="dxa"/>
            <w:vAlign w:val="center"/>
          </w:tcPr>
          <w:p>
            <w:pPr>
              <w:pStyle w:val="11"/>
              <w:snapToGrid w:val="0"/>
              <w:spacing w:line="300" w:lineRule="auto"/>
              <w:ind w:firstLine="0" w:firstLineChars="0"/>
            </w:pPr>
            <w:r>
              <w:rPr>
                <w:rFonts w:hint="eastAsia"/>
              </w:rPr>
              <w:t>其他治法与治疗方案：</w:t>
            </w:r>
          </w:p>
          <w:p>
            <w:pPr>
              <w:pStyle w:val="11"/>
              <w:snapToGrid w:val="0"/>
              <w:spacing w:line="300" w:lineRule="auto"/>
              <w:rPr>
                <w:u w:val="single"/>
              </w:rPr>
            </w:pPr>
          </w:p>
          <w:p>
            <w:pPr>
              <w:pStyle w:val="11"/>
              <w:snapToGrid w:val="0"/>
              <w:spacing w:line="300" w:lineRule="auto"/>
              <w:ind w:firstLine="0" w:firstLineChars="0"/>
            </w:pPr>
            <w:r>
              <w:rPr>
                <w:u w:val="single"/>
              </w:rPr>
              <w:t xml:space="preserve">1.                         2.                         3.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060" w:type="dxa"/>
            <w:gridSpan w:val="3"/>
            <w:vAlign w:val="center"/>
          </w:tcPr>
          <w:p>
            <w:pPr>
              <w:pStyle w:val="11"/>
              <w:snapToGrid w:val="0"/>
              <w:spacing w:line="300" w:lineRule="auto"/>
              <w:ind w:firstLine="0" w:firstLineChars="0"/>
            </w:pPr>
            <w:r>
              <w:rPr>
                <w:rFonts w:hint="eastAsia"/>
              </w:rPr>
              <w:t>四、调摄与预防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7" w:hRule="atLeast"/>
          <w:jc w:val="center"/>
        </w:trPr>
        <w:tc>
          <w:tcPr>
            <w:tcW w:w="2206" w:type="dxa"/>
            <w:vAlign w:val="center"/>
          </w:tcPr>
          <w:p>
            <w:pPr>
              <w:pStyle w:val="11"/>
              <w:snapToGrid w:val="0"/>
              <w:spacing w:line="300" w:lineRule="auto"/>
              <w:ind w:firstLine="0" w:firstLineChars="0"/>
            </w:pPr>
            <w:r>
              <w:rPr>
                <w:rFonts w:hint="eastAsia"/>
              </w:rPr>
              <w:t>调摄与预防措施</w:t>
            </w:r>
          </w:p>
        </w:tc>
        <w:tc>
          <w:tcPr>
            <w:tcW w:w="2869" w:type="dxa"/>
            <w:vAlign w:val="center"/>
          </w:tcPr>
          <w:p>
            <w:pPr>
              <w:pStyle w:val="11"/>
              <w:snapToGrid w:val="0"/>
              <w:spacing w:line="300" w:lineRule="auto"/>
              <w:ind w:firstLine="0" w:firstLineChars="0"/>
            </w:pPr>
            <w:r>
              <w:rPr>
                <w:rFonts w:hint="eastAsia"/>
              </w:rPr>
              <w:t>调摄与预防措施：</w:t>
            </w:r>
          </w:p>
          <w:p>
            <w:pPr>
              <w:pStyle w:val="11"/>
              <w:snapToGrid w:val="0"/>
              <w:spacing w:line="300" w:lineRule="auto"/>
              <w:rPr>
                <w:u w:val="single"/>
              </w:rPr>
            </w:pPr>
          </w:p>
          <w:p>
            <w:pPr>
              <w:pStyle w:val="11"/>
              <w:snapToGrid w:val="0"/>
              <w:spacing w:line="300" w:lineRule="auto"/>
              <w:ind w:firstLine="0" w:firstLineChars="0"/>
            </w:pPr>
            <w:r>
              <w:rPr>
                <w:u w:val="single"/>
              </w:rPr>
              <w:t xml:space="preserve">1.                         2.                         3.                         </w:t>
            </w:r>
          </w:p>
        </w:tc>
        <w:tc>
          <w:tcPr>
            <w:tcW w:w="3985" w:type="dxa"/>
            <w:vAlign w:val="center"/>
          </w:tcPr>
          <w:p>
            <w:pPr>
              <w:pStyle w:val="11"/>
              <w:snapToGrid w:val="0"/>
              <w:spacing w:line="300" w:lineRule="auto"/>
              <w:ind w:firstLine="0" w:firstLineChars="0"/>
            </w:pPr>
            <w:r>
              <w:rPr>
                <w:rFonts w:hint="eastAsia" w:hAnsi="Wingdings"/>
                <w:szCs w:val="20"/>
              </w:rPr>
              <w:sym w:font="Wingdings" w:char="F0A8"/>
            </w:r>
            <w:r>
              <w:rPr>
                <w:rFonts w:hint="eastAsia"/>
              </w:rPr>
              <w:t>一致</w:t>
            </w:r>
            <w:r>
              <w:t xml:space="preserve">  </w:t>
            </w:r>
            <w:r>
              <w:rPr>
                <w:rFonts w:hint="eastAsia" w:hAnsi="Wingdings"/>
                <w:szCs w:val="20"/>
              </w:rPr>
              <w:sym w:font="Wingdings" w:char="F0A8"/>
            </w:r>
            <w:r>
              <w:rPr>
                <w:rFonts w:hint="eastAsia"/>
              </w:rPr>
              <w:t>比较一致</w:t>
            </w:r>
            <w:r>
              <w:t xml:space="preserve">  </w:t>
            </w:r>
            <w:r>
              <w:rPr>
                <w:rFonts w:hint="eastAsia" w:hAnsi="Wingdings"/>
                <w:szCs w:val="20"/>
              </w:rPr>
              <w:sym w:font="Wingdings" w:char="F0A8"/>
            </w:r>
            <w:r>
              <w:rPr>
                <w:rFonts w:hint="eastAsia"/>
              </w:rPr>
              <w:t>一般</w:t>
            </w:r>
            <w:r>
              <w:t xml:space="preserve"> </w:t>
            </w:r>
            <w:r>
              <w:rPr>
                <w:rFonts w:hint="eastAsia" w:hAnsi="Wingdings"/>
                <w:szCs w:val="20"/>
              </w:rPr>
              <w:sym w:font="Wingdings" w:char="F0A8"/>
            </w:r>
            <w:r>
              <w:rPr>
                <w:rFonts w:hint="eastAsia"/>
              </w:rPr>
              <w:t>不一致</w:t>
            </w:r>
          </w:p>
          <w:p>
            <w:pPr>
              <w:pStyle w:val="11"/>
              <w:snapToGrid w:val="0"/>
              <w:spacing w:line="300" w:lineRule="auto"/>
              <w:ind w:firstLine="0" w:firstLineChars="0"/>
            </w:pPr>
            <w:r>
              <w:rPr>
                <w:rFonts w:hint="eastAsia"/>
              </w:rPr>
              <w:t>不一致原因：</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060" w:type="dxa"/>
            <w:gridSpan w:val="3"/>
            <w:vAlign w:val="center"/>
          </w:tcPr>
          <w:p>
            <w:pPr>
              <w:pStyle w:val="11"/>
              <w:snapToGrid w:val="0"/>
              <w:spacing w:line="300" w:lineRule="auto"/>
              <w:ind w:firstLine="0" w:firstLineChars="0"/>
            </w:pPr>
            <w:r>
              <w:rPr>
                <w:rFonts w:hint="eastAsia"/>
              </w:rPr>
              <w:t>四、不良事件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Align w:val="center"/>
          </w:tcPr>
          <w:p>
            <w:pPr>
              <w:pStyle w:val="11"/>
              <w:snapToGrid w:val="0"/>
              <w:spacing w:line="300" w:lineRule="auto"/>
            </w:pPr>
          </w:p>
        </w:tc>
        <w:tc>
          <w:tcPr>
            <w:tcW w:w="6854" w:type="dxa"/>
            <w:gridSpan w:val="2"/>
            <w:vAlign w:val="center"/>
          </w:tcPr>
          <w:p>
            <w:pPr>
              <w:pStyle w:val="11"/>
              <w:snapToGrid w:val="0"/>
              <w:spacing w:line="300" w:lineRule="auto"/>
              <w:ind w:firstLine="0" w:firstLineChars="0"/>
            </w:pPr>
            <w:r>
              <w:rPr>
                <w:rFonts w:hint="eastAsia"/>
              </w:rPr>
              <w:t>无不良事件</w:t>
            </w:r>
            <w:r>
              <w:rPr>
                <w:rFonts w:hint="eastAsia" w:hAnsi="Wingdings"/>
                <w:szCs w:val="20"/>
              </w:rPr>
              <w:sym w:font="Wingdings" w:char="F0A8"/>
            </w:r>
            <w:r>
              <w:t xml:space="preserve">          </w:t>
            </w:r>
            <w:r>
              <w:rPr>
                <w:rFonts w:hint="eastAsia"/>
              </w:rPr>
              <w:t>有不良事件</w:t>
            </w:r>
            <w:r>
              <w:rPr>
                <w:rFonts w:hint="eastAsia" w:hAnsi="Wingdings"/>
                <w:szCs w:val="20"/>
              </w:rPr>
              <w:sym w:font="Wingdings" w:char="F0A8"/>
            </w:r>
          </w:p>
          <w:p>
            <w:pPr>
              <w:pStyle w:val="11"/>
              <w:snapToGrid w:val="0"/>
              <w:spacing w:line="300" w:lineRule="auto"/>
              <w:ind w:firstLine="0" w:firstLineChars="0"/>
            </w:pPr>
            <w:r>
              <w:rPr>
                <w:rFonts w:hint="eastAsia"/>
              </w:rPr>
              <w:t>如有不良事件，是否判定为不良反应</w:t>
            </w:r>
            <w:r>
              <w:rPr>
                <w:rFonts w:hint="eastAsia" w:hAnsi="Wingdings"/>
                <w:szCs w:val="20"/>
              </w:rPr>
              <w:sym w:font="Wingdings" w:char="F0A8"/>
            </w:r>
          </w:p>
          <w:p>
            <w:pPr>
              <w:pStyle w:val="11"/>
              <w:snapToGrid w:val="0"/>
              <w:spacing w:line="300" w:lineRule="auto"/>
              <w:ind w:firstLine="0" w:firstLineChars="0"/>
            </w:pPr>
            <w:r>
              <w:rPr>
                <w:rFonts w:hint="eastAsia"/>
              </w:rPr>
              <w:t>不良事件</w:t>
            </w:r>
            <w:r>
              <w:t>/</w:t>
            </w:r>
            <w:r>
              <w:rPr>
                <w:rFonts w:hint="eastAsia"/>
              </w:rPr>
              <w:t>反应及处理措施记录：</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3</w:t>
            </w:r>
            <w:r>
              <w:rPr>
                <w:rFonts w:hint="eastAsia"/>
                <w:u w:val="single"/>
              </w:rPr>
              <w:t>．</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060" w:type="dxa"/>
            <w:gridSpan w:val="3"/>
            <w:vAlign w:val="center"/>
          </w:tcPr>
          <w:p>
            <w:pPr>
              <w:pStyle w:val="11"/>
              <w:snapToGrid w:val="0"/>
              <w:spacing w:line="300" w:lineRule="auto"/>
              <w:ind w:firstLine="0" w:firstLineChars="0"/>
            </w:pPr>
            <w:r>
              <w:rPr>
                <w:rFonts w:hint="eastAsia"/>
              </w:rPr>
              <w:t>五、其他事项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206" w:type="dxa"/>
            <w:vAlign w:val="center"/>
          </w:tcPr>
          <w:p>
            <w:pPr>
              <w:pStyle w:val="11"/>
              <w:snapToGrid w:val="0"/>
              <w:spacing w:line="300" w:lineRule="auto"/>
            </w:pPr>
          </w:p>
        </w:tc>
        <w:tc>
          <w:tcPr>
            <w:tcW w:w="6854" w:type="dxa"/>
            <w:gridSpan w:val="2"/>
            <w:vAlign w:val="center"/>
          </w:tcPr>
          <w:p>
            <w:pPr>
              <w:pStyle w:val="11"/>
              <w:snapToGrid w:val="0"/>
              <w:spacing w:line="300" w:lineRule="auto"/>
              <w:ind w:firstLine="0" w:firstLineChars="0"/>
            </w:pPr>
            <w:r>
              <w:rPr>
                <w:rFonts w:hint="eastAsia"/>
              </w:rPr>
              <w:t>记录：</w:t>
            </w:r>
          </w:p>
          <w:p>
            <w:pPr>
              <w:pStyle w:val="11"/>
              <w:snapToGrid w:val="0"/>
              <w:spacing w:line="300" w:lineRule="auto"/>
              <w:ind w:firstLine="0" w:firstLineChars="0"/>
              <w:rPr>
                <w:u w:val="single"/>
              </w:rPr>
            </w:pPr>
            <w:r>
              <w:rPr>
                <w:u w:val="single"/>
              </w:rPr>
              <w:t xml:space="preserve">1.                                                                 </w:t>
            </w:r>
          </w:p>
          <w:p>
            <w:pPr>
              <w:pStyle w:val="11"/>
              <w:snapToGrid w:val="0"/>
              <w:spacing w:line="300" w:lineRule="auto"/>
              <w:ind w:firstLine="0" w:firstLineChars="0"/>
              <w:rPr>
                <w:u w:val="single"/>
              </w:rPr>
            </w:pPr>
            <w:r>
              <w:rPr>
                <w:u w:val="single"/>
              </w:rPr>
              <w:t xml:space="preserve">2.                                                                 </w:t>
            </w:r>
          </w:p>
          <w:p>
            <w:pPr>
              <w:pStyle w:val="11"/>
              <w:snapToGrid w:val="0"/>
              <w:spacing w:line="300" w:lineRule="auto"/>
              <w:ind w:firstLine="0" w:firstLineChars="0"/>
            </w:pPr>
            <w:r>
              <w:rPr>
                <w:u w:val="single"/>
              </w:rPr>
              <w:t>3</w:t>
            </w:r>
            <w:r>
              <w:rPr>
                <w:rFonts w:hint="eastAsia"/>
                <w:u w:val="single"/>
              </w:rPr>
              <w:t>．</w:t>
            </w:r>
            <w:r>
              <w:rPr>
                <w:u w:val="single"/>
              </w:rPr>
              <w:t xml:space="preserve">                                                                </w:t>
            </w:r>
          </w:p>
        </w:tc>
      </w:tr>
    </w:tbl>
    <w:p>
      <w:pPr>
        <w:pStyle w:val="12"/>
        <w:snapToGrid w:val="0"/>
        <w:spacing w:line="300" w:lineRule="auto"/>
      </w:pPr>
      <w:r>
        <w:rPr>
          <w:rFonts w:hint="eastAsia"/>
        </w:rPr>
        <w:t>注：</w:t>
      </w:r>
    </w:p>
    <w:p>
      <w:pPr>
        <w:pStyle w:val="12"/>
        <w:snapToGrid w:val="0"/>
        <w:spacing w:line="300" w:lineRule="auto"/>
      </w:pPr>
      <w:r>
        <w:t>1</w:t>
      </w:r>
      <w:r>
        <w:rPr>
          <w:rFonts w:hint="eastAsia"/>
        </w:rPr>
        <w:t>．根据病例信息填写诊断、治疗、调摄与预防、不良事件及其他事项等条目内容。</w:t>
      </w:r>
    </w:p>
    <w:p>
      <w:pPr>
        <w:pStyle w:val="12"/>
        <w:snapToGrid w:val="0"/>
        <w:spacing w:line="300" w:lineRule="auto"/>
      </w:pPr>
      <w:r>
        <w:t>2</w:t>
      </w:r>
      <w:r>
        <w:rPr>
          <w:rFonts w:hint="eastAsia"/>
        </w:rPr>
        <w:t>．为便于统计分析，表格中半开放的填写内容应根据需要逐条列出。</w:t>
      </w:r>
    </w:p>
    <w:p>
      <w:pPr>
        <w:pStyle w:val="12"/>
        <w:snapToGrid w:val="0"/>
        <w:spacing w:line="300" w:lineRule="auto"/>
      </w:pPr>
      <w:r>
        <w:t>3</w:t>
      </w:r>
      <w:r>
        <w:rPr>
          <w:rFonts w:hint="eastAsia"/>
        </w:rPr>
        <w:t>．一致性评分尺度：请根据所观察指南实施情况与指南的一致程度（定性评价），按百分比的评分标准，分别是：＞</w:t>
      </w:r>
      <w:r>
        <w:t>80</w:t>
      </w:r>
      <w:r>
        <w:rPr>
          <w:rFonts w:hint="eastAsia"/>
        </w:rPr>
        <w:t>为一致，</w:t>
      </w:r>
      <w:r>
        <w:t>60%</w:t>
      </w:r>
      <w:r>
        <w:rPr>
          <w:rFonts w:hint="eastAsia"/>
        </w:rPr>
        <w:t>～</w:t>
      </w:r>
      <w:r>
        <w:t>80%</w:t>
      </w:r>
      <w:r>
        <w:rPr>
          <w:rFonts w:hint="eastAsia"/>
        </w:rPr>
        <w:t>为比较一致，</w:t>
      </w:r>
      <w:r>
        <w:t>40%</w:t>
      </w:r>
      <w:r>
        <w:rPr>
          <w:rFonts w:hint="eastAsia"/>
        </w:rPr>
        <w:t>～</w:t>
      </w:r>
      <w:r>
        <w:t>59%</w:t>
      </w:r>
      <w:r>
        <w:rPr>
          <w:rFonts w:hint="eastAsia"/>
        </w:rPr>
        <w:t>为一般，＜</w:t>
      </w:r>
      <w:r>
        <w:t>40%</w:t>
      </w:r>
      <w:r>
        <w:rPr>
          <w:rFonts w:hint="eastAsia"/>
        </w:rPr>
        <w:t>为不一致。当评价为“不一致”时，应分析并填写不一致原因。</w:t>
      </w:r>
    </w:p>
    <w:p>
      <w:pPr>
        <w:pStyle w:val="12"/>
        <w:snapToGrid w:val="0"/>
        <w:spacing w:line="300" w:lineRule="auto"/>
      </w:pPr>
      <w:r>
        <w:t>4</w:t>
      </w:r>
      <w:r>
        <w:rPr>
          <w:rFonts w:hint="eastAsia"/>
        </w:rPr>
        <w:t>．表格不够填写，可自行加页。</w:t>
      </w:r>
    </w:p>
    <w:p>
      <w:pPr>
        <w:pStyle w:val="12"/>
        <w:snapToGrid w:val="0"/>
        <w:spacing w:line="300" w:lineRule="auto"/>
        <w:rPr>
          <w:color w:val="000000"/>
          <w:szCs w:val="21"/>
          <w:u w:color="000000"/>
        </w:rPr>
      </w:pPr>
      <w:r>
        <w:t>5</w:t>
      </w:r>
      <w:r>
        <w:rPr>
          <w:rFonts w:hint="eastAsia"/>
        </w:rPr>
        <w:t>．本调查表为指南临床一致性测试通用表，各专业（病种）可在此表基础上，根据需要扩展调查内容。</w:t>
      </w:r>
    </w:p>
    <w:p>
      <w:pPr>
        <w:pStyle w:val="13"/>
        <w:snapToGrid w:val="0"/>
        <w:spacing w:line="300" w:lineRule="auto"/>
        <w:jc w:val="left"/>
        <w:rPr>
          <w:rFonts w:ascii="宋体" w:hAnsi="宋体" w:eastAsia="宋体"/>
          <w:color w:val="000000"/>
          <w:szCs w:val="21"/>
          <w:u w:color="000000"/>
        </w:rPr>
      </w:pPr>
    </w:p>
    <w:p>
      <w:pPr>
        <w:pStyle w:val="13"/>
        <w:snapToGrid w:val="0"/>
        <w:spacing w:line="300" w:lineRule="auto"/>
        <w:jc w:val="left"/>
        <w:rPr>
          <w:rFonts w:ascii="宋体" w:hAnsi="宋体" w:eastAsia="宋体"/>
          <w:color w:val="000000"/>
          <w:szCs w:val="21"/>
          <w:u w:color="000000"/>
        </w:rPr>
      </w:pPr>
    </w:p>
    <w:p>
      <w:pPr>
        <w:jc w:val="left"/>
        <w:outlineLvl w:val="2"/>
        <w:rPr>
          <w:rFonts w:ascii="宋体"/>
          <w:b/>
          <w:kern w:val="44"/>
          <w:sz w:val="24"/>
        </w:rPr>
      </w:pPr>
      <w:r>
        <w:rPr>
          <w:rFonts w:ascii="宋体"/>
          <w:bCs/>
          <w:kern w:val="44"/>
          <w:sz w:val="28"/>
          <w:szCs w:val="28"/>
        </w:rPr>
        <w:br w:type="page"/>
      </w:r>
      <w:r>
        <w:rPr>
          <w:rFonts w:hint="eastAsia" w:ascii="仿宋" w:hAnsi="仿宋" w:eastAsia="仿宋" w:cs="仿宋"/>
          <w:b/>
          <w:bCs/>
          <w:sz w:val="30"/>
          <w:szCs w:val="30"/>
        </w:rPr>
        <w:t>1.3 中医临床诊疗指南一致性测试报告</w:t>
      </w:r>
    </w:p>
    <w:p>
      <w:pPr>
        <w:rPr>
          <w:rFonts w:ascii="宋体"/>
          <w:bCs/>
          <w:kern w:val="44"/>
          <w:sz w:val="24"/>
        </w:rPr>
      </w:pPr>
    </w:p>
    <w:p>
      <w:pPr>
        <w:rPr>
          <w:rFonts w:ascii="宋体"/>
          <w:sz w:val="24"/>
        </w:rPr>
      </w:pPr>
      <w:r>
        <w:rPr>
          <w:rFonts w:hint="eastAsia" w:ascii="宋体" w:hAnsi="宋体"/>
          <w:bCs/>
          <w:kern w:val="44"/>
          <w:sz w:val="24"/>
        </w:rPr>
        <w:t>一、</w:t>
      </w:r>
      <w:r>
        <w:rPr>
          <w:rFonts w:hint="eastAsia"/>
          <w:sz w:val="24"/>
        </w:rPr>
        <w:t>指南临床试用一致率</w:t>
      </w:r>
    </w:p>
    <w:p>
      <w:pPr>
        <w:spacing w:line="360" w:lineRule="auto"/>
        <w:jc w:val="right"/>
        <w:rPr>
          <w:rFonts w:ascii="黑体" w:hAnsi="黑体" w:eastAsia="黑体"/>
          <w:b/>
          <w:color w:val="000000"/>
          <w:sz w:val="18"/>
          <w:szCs w:val="18"/>
        </w:rPr>
      </w:pPr>
      <w:r>
        <w:rPr>
          <w:rFonts w:hint="eastAsia" w:ascii="黑体" w:hAnsi="黑体" w:eastAsia="黑体"/>
          <w:color w:val="000000"/>
          <w:sz w:val="18"/>
          <w:szCs w:val="18"/>
        </w:rPr>
        <w:t>表</w:t>
      </w:r>
      <w:r>
        <w:rPr>
          <w:rFonts w:ascii="黑体" w:hAnsi="黑体" w:eastAsia="黑体"/>
          <w:color w:val="000000"/>
          <w:sz w:val="18"/>
          <w:szCs w:val="18"/>
        </w:rPr>
        <w:t xml:space="preserve">1 </w:t>
      </w:r>
      <w:r>
        <w:rPr>
          <w:rFonts w:hint="eastAsia"/>
          <w:sz w:val="18"/>
          <w:szCs w:val="18"/>
        </w:rPr>
        <w:t>指南临床应用一致性</w:t>
      </w:r>
      <w:r>
        <w:rPr>
          <w:rFonts w:hint="eastAsia" w:ascii="黑体" w:hAnsi="黑体" w:eastAsia="黑体"/>
          <w:color w:val="000000"/>
          <w:sz w:val="18"/>
          <w:szCs w:val="18"/>
        </w:rPr>
        <w:t>统计表</w:t>
      </w:r>
      <w:r>
        <w:rPr>
          <w:rFonts w:ascii="黑体" w:hAnsi="黑体" w:eastAsia="黑体"/>
          <w:b/>
          <w:bCs/>
          <w:color w:val="000000"/>
          <w:kern w:val="44"/>
          <w:sz w:val="18"/>
          <w:szCs w:val="18"/>
        </w:rPr>
        <w:t xml:space="preserve">      </w:t>
      </w:r>
      <w:r>
        <w:rPr>
          <w:rFonts w:hint="eastAsia" w:ascii="宋体" w:hAnsi="宋体"/>
          <w:sz w:val="18"/>
          <w:szCs w:val="18"/>
        </w:rPr>
        <w:t>评价总例数</w:t>
      </w:r>
      <w:r>
        <w:rPr>
          <w:rFonts w:ascii="宋体" w:hAnsi="宋体"/>
          <w:sz w:val="18"/>
          <w:szCs w:val="18"/>
        </w:rPr>
        <w:t xml:space="preserve"> (N=</w:t>
      </w:r>
      <w:r>
        <w:rPr>
          <w:rFonts w:ascii="宋体" w:hAnsi="宋体"/>
          <w:sz w:val="18"/>
          <w:szCs w:val="18"/>
          <w:u w:val="single"/>
        </w:rPr>
        <w:t xml:space="preserve">   200  </w:t>
      </w:r>
      <w:r>
        <w:rPr>
          <w:rFonts w:hint="eastAsia" w:ascii="宋体" w:hAnsi="宋体"/>
          <w:sz w:val="18"/>
          <w:szCs w:val="18"/>
        </w:rPr>
        <w:t>例</w:t>
      </w:r>
      <w:r>
        <w:rPr>
          <w:rFonts w:ascii="宋体" w:hAnsi="宋体"/>
          <w:sz w:val="18"/>
          <w:szCs w:val="18"/>
        </w:rPr>
        <w:t>)</w:t>
      </w:r>
    </w:p>
    <w:tbl>
      <w:tblPr>
        <w:tblStyle w:val="9"/>
        <w:tblW w:w="8754" w:type="dxa"/>
        <w:jc w:val="center"/>
        <w:tblInd w:w="0" w:type="dxa"/>
        <w:tblLayout w:type="fixed"/>
        <w:tblCellMar>
          <w:top w:w="0" w:type="dxa"/>
          <w:left w:w="108" w:type="dxa"/>
          <w:bottom w:w="0" w:type="dxa"/>
          <w:right w:w="108" w:type="dxa"/>
        </w:tblCellMar>
      </w:tblPr>
      <w:tblGrid>
        <w:gridCol w:w="674"/>
        <w:gridCol w:w="1063"/>
        <w:gridCol w:w="1843"/>
        <w:gridCol w:w="750"/>
        <w:gridCol w:w="951"/>
        <w:gridCol w:w="850"/>
        <w:gridCol w:w="851"/>
        <w:gridCol w:w="815"/>
        <w:gridCol w:w="957"/>
      </w:tblGrid>
      <w:tr>
        <w:tblPrEx>
          <w:tblLayout w:type="fixed"/>
          <w:tblCellMar>
            <w:top w:w="0" w:type="dxa"/>
            <w:left w:w="108" w:type="dxa"/>
            <w:bottom w:w="0" w:type="dxa"/>
            <w:right w:w="108" w:type="dxa"/>
          </w:tblCellMar>
        </w:tblPrEx>
        <w:trPr>
          <w:trHeight w:val="567" w:hRule="atLeast"/>
          <w:jc w:val="center"/>
        </w:trPr>
        <w:tc>
          <w:tcPr>
            <w:tcW w:w="1737" w:type="dxa"/>
            <w:gridSpan w:val="2"/>
            <w:vMerge w:val="restart"/>
            <w:tcBorders>
              <w:top w:val="single" w:color="auto" w:sz="4" w:space="0"/>
            </w:tcBorders>
            <w:vAlign w:val="center"/>
          </w:tcPr>
          <w:p>
            <w:pPr>
              <w:pStyle w:val="14"/>
              <w:rPr>
                <w:b w:val="0"/>
                <w:sz w:val="18"/>
                <w:szCs w:val="18"/>
              </w:rPr>
            </w:pPr>
            <w:r>
              <w:rPr>
                <w:rFonts w:hint="eastAsia"/>
                <w:b w:val="0"/>
                <w:sz w:val="18"/>
                <w:szCs w:val="18"/>
              </w:rPr>
              <w:t>类别</w:t>
            </w:r>
          </w:p>
        </w:tc>
        <w:tc>
          <w:tcPr>
            <w:tcW w:w="1843" w:type="dxa"/>
            <w:vMerge w:val="restart"/>
            <w:tcBorders>
              <w:top w:val="single" w:color="auto" w:sz="4" w:space="0"/>
            </w:tcBorders>
            <w:vAlign w:val="center"/>
          </w:tcPr>
          <w:p>
            <w:pPr>
              <w:pStyle w:val="14"/>
              <w:rPr>
                <w:b w:val="0"/>
                <w:sz w:val="18"/>
                <w:szCs w:val="18"/>
              </w:rPr>
            </w:pPr>
            <w:r>
              <w:rPr>
                <w:rFonts w:hint="eastAsia"/>
                <w:b w:val="0"/>
                <w:sz w:val="18"/>
                <w:szCs w:val="18"/>
              </w:rPr>
              <w:t>内容</w:t>
            </w:r>
          </w:p>
        </w:tc>
        <w:tc>
          <w:tcPr>
            <w:tcW w:w="3402" w:type="dxa"/>
            <w:gridSpan w:val="4"/>
            <w:tcBorders>
              <w:top w:val="single" w:color="auto" w:sz="4" w:space="0"/>
              <w:bottom w:val="single" w:color="auto" w:sz="4" w:space="0"/>
            </w:tcBorders>
            <w:vAlign w:val="center"/>
          </w:tcPr>
          <w:p>
            <w:pPr>
              <w:pStyle w:val="14"/>
              <w:rPr>
                <w:b w:val="0"/>
                <w:sz w:val="18"/>
                <w:szCs w:val="18"/>
              </w:rPr>
            </w:pPr>
            <w:r>
              <w:rPr>
                <w:rFonts w:hint="eastAsia"/>
                <w:b w:val="0"/>
                <w:sz w:val="18"/>
                <w:szCs w:val="18"/>
              </w:rPr>
              <w:t>一致率</w:t>
            </w:r>
            <w:r>
              <w:rPr>
                <w:b w:val="0"/>
                <w:sz w:val="18"/>
                <w:szCs w:val="18"/>
              </w:rPr>
              <w:t>n</w:t>
            </w:r>
            <w:r>
              <w:rPr>
                <w:rFonts w:hint="eastAsia"/>
                <w:b w:val="0"/>
                <w:sz w:val="18"/>
                <w:szCs w:val="18"/>
              </w:rPr>
              <w:t>（</w:t>
            </w:r>
            <w:r>
              <w:rPr>
                <w:b w:val="0"/>
                <w:sz w:val="18"/>
                <w:szCs w:val="18"/>
              </w:rPr>
              <w:t>%</w:t>
            </w:r>
            <w:r>
              <w:rPr>
                <w:rFonts w:hint="eastAsia"/>
                <w:b w:val="0"/>
                <w:sz w:val="18"/>
                <w:szCs w:val="18"/>
              </w:rPr>
              <w:t>）</w:t>
            </w:r>
          </w:p>
        </w:tc>
        <w:tc>
          <w:tcPr>
            <w:tcW w:w="815" w:type="dxa"/>
            <w:vMerge w:val="restart"/>
            <w:tcBorders>
              <w:top w:val="single" w:color="auto" w:sz="4" w:space="0"/>
            </w:tcBorders>
            <w:vAlign w:val="center"/>
          </w:tcPr>
          <w:p>
            <w:pPr>
              <w:pStyle w:val="14"/>
              <w:rPr>
                <w:b w:val="0"/>
                <w:sz w:val="18"/>
                <w:szCs w:val="18"/>
              </w:rPr>
            </w:pPr>
            <w:r>
              <w:rPr>
                <w:rFonts w:hint="eastAsia"/>
                <w:b w:val="0"/>
                <w:sz w:val="18"/>
                <w:szCs w:val="18"/>
              </w:rPr>
              <w:t>一致率</w:t>
            </w:r>
          </w:p>
          <w:p>
            <w:pPr>
              <w:pStyle w:val="15"/>
              <w:rPr>
                <w:sz w:val="18"/>
                <w:szCs w:val="18"/>
              </w:rPr>
            </w:pPr>
            <w:r>
              <w:rPr>
                <w:rFonts w:hint="eastAsia"/>
                <w:sz w:val="18"/>
                <w:szCs w:val="18"/>
              </w:rPr>
              <w:t>（</w:t>
            </w:r>
            <w:r>
              <w:rPr>
                <w:sz w:val="18"/>
                <w:szCs w:val="18"/>
              </w:rPr>
              <w:t>%</w:t>
            </w:r>
            <w:r>
              <w:rPr>
                <w:rFonts w:hint="eastAsia"/>
                <w:sz w:val="18"/>
                <w:szCs w:val="18"/>
              </w:rPr>
              <w:t>）</w:t>
            </w:r>
          </w:p>
        </w:tc>
        <w:tc>
          <w:tcPr>
            <w:tcW w:w="957" w:type="dxa"/>
            <w:vMerge w:val="restart"/>
            <w:tcBorders>
              <w:top w:val="single" w:color="auto" w:sz="4" w:space="0"/>
            </w:tcBorders>
            <w:vAlign w:val="center"/>
          </w:tcPr>
          <w:p>
            <w:pPr>
              <w:pStyle w:val="14"/>
              <w:rPr>
                <w:b w:val="0"/>
                <w:sz w:val="18"/>
                <w:szCs w:val="18"/>
              </w:rPr>
            </w:pPr>
            <w:r>
              <w:rPr>
                <w:rFonts w:hint="eastAsia"/>
                <w:b w:val="0"/>
                <w:sz w:val="18"/>
                <w:szCs w:val="18"/>
              </w:rPr>
              <w:t>备注</w:t>
            </w:r>
          </w:p>
        </w:tc>
      </w:tr>
      <w:tr>
        <w:tblPrEx>
          <w:tblLayout w:type="fixed"/>
          <w:tblCellMar>
            <w:top w:w="0" w:type="dxa"/>
            <w:left w:w="108" w:type="dxa"/>
            <w:bottom w:w="0" w:type="dxa"/>
            <w:right w:w="108" w:type="dxa"/>
          </w:tblCellMar>
        </w:tblPrEx>
        <w:trPr>
          <w:trHeight w:val="567" w:hRule="atLeast"/>
          <w:jc w:val="center"/>
        </w:trPr>
        <w:tc>
          <w:tcPr>
            <w:tcW w:w="1737" w:type="dxa"/>
            <w:gridSpan w:val="2"/>
            <w:vMerge w:val="continue"/>
            <w:tcBorders>
              <w:bottom w:val="single" w:color="auto" w:sz="4" w:space="0"/>
            </w:tcBorders>
          </w:tcPr>
          <w:p>
            <w:pPr>
              <w:pStyle w:val="14"/>
              <w:rPr>
                <w:b w:val="0"/>
                <w:sz w:val="18"/>
                <w:szCs w:val="18"/>
              </w:rPr>
            </w:pPr>
          </w:p>
        </w:tc>
        <w:tc>
          <w:tcPr>
            <w:tcW w:w="1843" w:type="dxa"/>
            <w:vMerge w:val="continue"/>
            <w:tcBorders>
              <w:bottom w:val="single" w:color="auto" w:sz="4" w:space="0"/>
            </w:tcBorders>
            <w:vAlign w:val="center"/>
          </w:tcPr>
          <w:p>
            <w:pPr>
              <w:pStyle w:val="14"/>
              <w:rPr>
                <w:b w:val="0"/>
                <w:sz w:val="18"/>
                <w:szCs w:val="18"/>
              </w:rPr>
            </w:pPr>
          </w:p>
        </w:tc>
        <w:tc>
          <w:tcPr>
            <w:tcW w:w="750" w:type="dxa"/>
            <w:tcBorders>
              <w:top w:val="single" w:color="auto" w:sz="4" w:space="0"/>
              <w:bottom w:val="single" w:color="auto" w:sz="4" w:space="0"/>
            </w:tcBorders>
            <w:vAlign w:val="center"/>
          </w:tcPr>
          <w:p>
            <w:pPr>
              <w:pStyle w:val="14"/>
              <w:rPr>
                <w:b w:val="0"/>
                <w:sz w:val="18"/>
                <w:szCs w:val="18"/>
              </w:rPr>
            </w:pPr>
            <w:r>
              <w:rPr>
                <w:rFonts w:hint="eastAsia"/>
                <w:b w:val="0"/>
                <w:sz w:val="18"/>
                <w:szCs w:val="18"/>
              </w:rPr>
              <w:t>一致</w:t>
            </w:r>
          </w:p>
        </w:tc>
        <w:tc>
          <w:tcPr>
            <w:tcW w:w="951" w:type="dxa"/>
            <w:tcBorders>
              <w:top w:val="single" w:color="auto" w:sz="4" w:space="0"/>
              <w:bottom w:val="single" w:color="auto" w:sz="4" w:space="0"/>
            </w:tcBorders>
            <w:vAlign w:val="center"/>
          </w:tcPr>
          <w:p>
            <w:pPr>
              <w:pStyle w:val="14"/>
              <w:rPr>
                <w:b w:val="0"/>
                <w:sz w:val="18"/>
                <w:szCs w:val="18"/>
              </w:rPr>
            </w:pPr>
            <w:r>
              <w:rPr>
                <w:rFonts w:hint="eastAsia"/>
                <w:b w:val="0"/>
                <w:sz w:val="18"/>
                <w:szCs w:val="18"/>
              </w:rPr>
              <w:t>比较一致</w:t>
            </w:r>
          </w:p>
        </w:tc>
        <w:tc>
          <w:tcPr>
            <w:tcW w:w="850" w:type="dxa"/>
            <w:tcBorders>
              <w:top w:val="single" w:color="auto" w:sz="4" w:space="0"/>
              <w:bottom w:val="single" w:color="auto" w:sz="4" w:space="0"/>
            </w:tcBorders>
            <w:vAlign w:val="center"/>
          </w:tcPr>
          <w:p>
            <w:pPr>
              <w:pStyle w:val="14"/>
              <w:rPr>
                <w:b w:val="0"/>
                <w:sz w:val="18"/>
                <w:szCs w:val="18"/>
              </w:rPr>
            </w:pPr>
            <w:r>
              <w:rPr>
                <w:rFonts w:hint="eastAsia"/>
                <w:b w:val="0"/>
                <w:sz w:val="18"/>
                <w:szCs w:val="18"/>
              </w:rPr>
              <w:t>一般</w:t>
            </w:r>
          </w:p>
        </w:tc>
        <w:tc>
          <w:tcPr>
            <w:tcW w:w="851" w:type="dxa"/>
            <w:tcBorders>
              <w:top w:val="single" w:color="auto" w:sz="4" w:space="0"/>
              <w:bottom w:val="single" w:color="auto" w:sz="4" w:space="0"/>
            </w:tcBorders>
            <w:vAlign w:val="center"/>
          </w:tcPr>
          <w:p>
            <w:pPr>
              <w:pStyle w:val="14"/>
              <w:rPr>
                <w:b w:val="0"/>
                <w:sz w:val="18"/>
                <w:szCs w:val="18"/>
              </w:rPr>
            </w:pPr>
            <w:r>
              <w:rPr>
                <w:rFonts w:hint="eastAsia"/>
                <w:b w:val="0"/>
                <w:sz w:val="18"/>
                <w:szCs w:val="18"/>
              </w:rPr>
              <w:t>不一致</w:t>
            </w:r>
          </w:p>
        </w:tc>
        <w:tc>
          <w:tcPr>
            <w:tcW w:w="815" w:type="dxa"/>
            <w:vMerge w:val="continue"/>
            <w:tcBorders>
              <w:bottom w:val="single" w:color="auto" w:sz="4" w:space="0"/>
            </w:tcBorders>
            <w:vAlign w:val="center"/>
          </w:tcPr>
          <w:p>
            <w:pPr>
              <w:pStyle w:val="14"/>
              <w:rPr>
                <w:b w:val="0"/>
                <w:sz w:val="18"/>
                <w:szCs w:val="18"/>
              </w:rPr>
            </w:pPr>
          </w:p>
        </w:tc>
        <w:tc>
          <w:tcPr>
            <w:tcW w:w="957" w:type="dxa"/>
            <w:vMerge w:val="continue"/>
            <w:tcBorders>
              <w:bottom w:val="single" w:color="auto" w:sz="4" w:space="0"/>
            </w:tcBorders>
            <w:vAlign w:val="center"/>
          </w:tcPr>
          <w:p>
            <w:pPr>
              <w:pStyle w:val="14"/>
              <w:rPr>
                <w:b w:val="0"/>
                <w:sz w:val="18"/>
                <w:szCs w:val="18"/>
              </w:rPr>
            </w:pPr>
          </w:p>
        </w:tc>
      </w:tr>
      <w:tr>
        <w:tblPrEx>
          <w:tblLayout w:type="fixed"/>
          <w:tblCellMar>
            <w:top w:w="0" w:type="dxa"/>
            <w:left w:w="108" w:type="dxa"/>
            <w:bottom w:w="0" w:type="dxa"/>
            <w:right w:w="108" w:type="dxa"/>
          </w:tblCellMar>
        </w:tblPrEx>
        <w:trPr>
          <w:trHeight w:val="458" w:hRule="atLeast"/>
          <w:jc w:val="center"/>
        </w:trPr>
        <w:tc>
          <w:tcPr>
            <w:tcW w:w="674" w:type="dxa"/>
            <w:vMerge w:val="restart"/>
            <w:tcBorders>
              <w:top w:val="single" w:color="auto" w:sz="4" w:space="0"/>
            </w:tcBorders>
            <w:vAlign w:val="center"/>
          </w:tcPr>
          <w:p>
            <w:pPr>
              <w:spacing w:line="360" w:lineRule="auto"/>
              <w:rPr>
                <w:color w:val="000000"/>
                <w:sz w:val="18"/>
                <w:szCs w:val="18"/>
              </w:rPr>
            </w:pPr>
            <w:r>
              <w:rPr>
                <w:rFonts w:hint="eastAsia"/>
                <w:color w:val="000000"/>
                <w:sz w:val="18"/>
                <w:szCs w:val="18"/>
              </w:rPr>
              <w:t>诊断</w:t>
            </w:r>
          </w:p>
        </w:tc>
        <w:tc>
          <w:tcPr>
            <w:tcW w:w="1063" w:type="dxa"/>
            <w:vMerge w:val="restart"/>
            <w:tcBorders>
              <w:top w:val="single" w:color="auto" w:sz="4" w:space="0"/>
            </w:tcBorders>
            <w:vAlign w:val="center"/>
          </w:tcPr>
          <w:p>
            <w:pPr>
              <w:spacing w:line="360" w:lineRule="auto"/>
              <w:rPr>
                <w:color w:val="000000"/>
                <w:sz w:val="18"/>
                <w:szCs w:val="18"/>
              </w:rPr>
            </w:pPr>
            <w:r>
              <w:rPr>
                <w:rFonts w:hint="eastAsia"/>
                <w:color w:val="000000"/>
                <w:sz w:val="18"/>
                <w:szCs w:val="18"/>
              </w:rPr>
              <w:t>中医诊断</w:t>
            </w:r>
          </w:p>
        </w:tc>
        <w:tc>
          <w:tcPr>
            <w:tcW w:w="1843" w:type="dxa"/>
            <w:tcBorders>
              <w:top w:val="single" w:color="auto" w:sz="4" w:space="0"/>
            </w:tcBorders>
            <w:vAlign w:val="center"/>
          </w:tcPr>
          <w:p>
            <w:pPr>
              <w:spacing w:line="360" w:lineRule="auto"/>
              <w:rPr>
                <w:color w:val="000000"/>
                <w:sz w:val="18"/>
                <w:szCs w:val="18"/>
              </w:rPr>
            </w:pPr>
            <w:r>
              <w:rPr>
                <w:rFonts w:hint="eastAsia"/>
                <w:color w:val="000000"/>
                <w:sz w:val="18"/>
                <w:szCs w:val="18"/>
              </w:rPr>
              <w:t>中医疾病诊断</w:t>
            </w:r>
          </w:p>
        </w:tc>
        <w:tc>
          <w:tcPr>
            <w:tcW w:w="750" w:type="dxa"/>
            <w:tcBorders>
              <w:top w:val="single" w:color="auto" w:sz="4" w:space="0"/>
            </w:tcBorders>
            <w:vAlign w:val="center"/>
          </w:tcPr>
          <w:p>
            <w:pPr>
              <w:spacing w:line="360" w:lineRule="auto"/>
              <w:rPr>
                <w:color w:val="000000"/>
                <w:sz w:val="18"/>
                <w:szCs w:val="18"/>
              </w:rPr>
            </w:pPr>
          </w:p>
        </w:tc>
        <w:tc>
          <w:tcPr>
            <w:tcW w:w="951" w:type="dxa"/>
            <w:tcBorders>
              <w:top w:val="single" w:color="auto" w:sz="4" w:space="0"/>
            </w:tcBorders>
            <w:vAlign w:val="center"/>
          </w:tcPr>
          <w:p>
            <w:pPr>
              <w:spacing w:line="360" w:lineRule="auto"/>
              <w:rPr>
                <w:color w:val="000000"/>
                <w:sz w:val="18"/>
                <w:szCs w:val="18"/>
              </w:rPr>
            </w:pPr>
          </w:p>
        </w:tc>
        <w:tc>
          <w:tcPr>
            <w:tcW w:w="850" w:type="dxa"/>
            <w:tcBorders>
              <w:top w:val="single" w:color="auto" w:sz="4" w:space="0"/>
            </w:tcBorders>
            <w:vAlign w:val="center"/>
          </w:tcPr>
          <w:p>
            <w:pPr>
              <w:spacing w:line="360" w:lineRule="auto"/>
              <w:rPr>
                <w:color w:val="000000"/>
                <w:sz w:val="18"/>
                <w:szCs w:val="18"/>
              </w:rPr>
            </w:pPr>
          </w:p>
        </w:tc>
        <w:tc>
          <w:tcPr>
            <w:tcW w:w="851" w:type="dxa"/>
            <w:tcBorders>
              <w:top w:val="single" w:color="auto" w:sz="4" w:space="0"/>
            </w:tcBorders>
            <w:vAlign w:val="center"/>
          </w:tcPr>
          <w:p>
            <w:pPr>
              <w:spacing w:line="360" w:lineRule="auto"/>
              <w:rPr>
                <w:color w:val="000000"/>
                <w:sz w:val="18"/>
                <w:szCs w:val="18"/>
              </w:rPr>
            </w:pPr>
          </w:p>
        </w:tc>
        <w:tc>
          <w:tcPr>
            <w:tcW w:w="815" w:type="dxa"/>
            <w:tcBorders>
              <w:top w:val="single" w:color="auto" w:sz="4" w:space="0"/>
            </w:tcBorders>
            <w:vAlign w:val="center"/>
          </w:tcPr>
          <w:p>
            <w:pPr>
              <w:spacing w:line="360" w:lineRule="auto"/>
              <w:rPr>
                <w:color w:val="000000"/>
                <w:sz w:val="18"/>
                <w:szCs w:val="18"/>
              </w:rPr>
            </w:pPr>
          </w:p>
        </w:tc>
        <w:tc>
          <w:tcPr>
            <w:tcW w:w="957" w:type="dxa"/>
            <w:tcBorders>
              <w:top w:val="single" w:color="auto" w:sz="4" w:space="0"/>
            </w:tcBorders>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360" w:lineRule="auto"/>
              <w:rPr>
                <w:color w:val="000000"/>
                <w:sz w:val="18"/>
                <w:szCs w:val="18"/>
              </w:rPr>
            </w:pPr>
          </w:p>
        </w:tc>
        <w:tc>
          <w:tcPr>
            <w:tcW w:w="1063" w:type="dxa"/>
            <w:vMerge w:val="continue"/>
            <w:vAlign w:val="center"/>
          </w:tcPr>
          <w:p>
            <w:pPr>
              <w:spacing w:line="360" w:lineRule="auto"/>
              <w:rPr>
                <w:color w:val="000000"/>
                <w:sz w:val="18"/>
                <w:szCs w:val="18"/>
              </w:rPr>
            </w:pPr>
          </w:p>
        </w:tc>
        <w:tc>
          <w:tcPr>
            <w:tcW w:w="1843" w:type="dxa"/>
            <w:vAlign w:val="center"/>
          </w:tcPr>
          <w:p>
            <w:pPr>
              <w:spacing w:line="360" w:lineRule="auto"/>
              <w:rPr>
                <w:color w:val="000000"/>
                <w:sz w:val="18"/>
                <w:szCs w:val="18"/>
              </w:rPr>
            </w:pPr>
            <w:r>
              <w:rPr>
                <w:rFonts w:hint="eastAsia"/>
                <w:color w:val="000000"/>
                <w:sz w:val="18"/>
                <w:szCs w:val="18"/>
              </w:rPr>
              <w:t>中医疾病诊断依据</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360" w:lineRule="auto"/>
              <w:rPr>
                <w:color w:val="000000"/>
                <w:sz w:val="18"/>
                <w:szCs w:val="18"/>
              </w:rPr>
            </w:pPr>
          </w:p>
        </w:tc>
        <w:tc>
          <w:tcPr>
            <w:tcW w:w="1063" w:type="dxa"/>
            <w:vMerge w:val="restart"/>
            <w:vAlign w:val="center"/>
          </w:tcPr>
          <w:p>
            <w:pPr>
              <w:spacing w:line="360" w:lineRule="auto"/>
              <w:rPr>
                <w:color w:val="000000"/>
                <w:sz w:val="18"/>
                <w:szCs w:val="18"/>
              </w:rPr>
            </w:pPr>
            <w:r>
              <w:rPr>
                <w:rFonts w:hint="eastAsia"/>
                <w:color w:val="000000"/>
                <w:sz w:val="18"/>
                <w:szCs w:val="18"/>
              </w:rPr>
              <w:t>西医诊断</w:t>
            </w:r>
          </w:p>
        </w:tc>
        <w:tc>
          <w:tcPr>
            <w:tcW w:w="1843" w:type="dxa"/>
            <w:vAlign w:val="center"/>
          </w:tcPr>
          <w:p>
            <w:pPr>
              <w:spacing w:line="360" w:lineRule="auto"/>
              <w:rPr>
                <w:color w:val="000000"/>
                <w:sz w:val="18"/>
                <w:szCs w:val="18"/>
              </w:rPr>
            </w:pPr>
            <w:r>
              <w:rPr>
                <w:rFonts w:hint="eastAsia"/>
                <w:color w:val="000000"/>
                <w:sz w:val="18"/>
                <w:szCs w:val="18"/>
              </w:rPr>
              <w:t>西医疾病诊断</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360" w:lineRule="auto"/>
              <w:rPr>
                <w:color w:val="000000"/>
                <w:sz w:val="18"/>
                <w:szCs w:val="18"/>
              </w:rPr>
            </w:pPr>
          </w:p>
        </w:tc>
        <w:tc>
          <w:tcPr>
            <w:tcW w:w="1063" w:type="dxa"/>
            <w:vMerge w:val="continue"/>
            <w:vAlign w:val="center"/>
          </w:tcPr>
          <w:p>
            <w:pPr>
              <w:spacing w:line="360" w:lineRule="auto"/>
              <w:rPr>
                <w:color w:val="000000"/>
                <w:sz w:val="18"/>
                <w:szCs w:val="18"/>
              </w:rPr>
            </w:pPr>
          </w:p>
        </w:tc>
        <w:tc>
          <w:tcPr>
            <w:tcW w:w="1843" w:type="dxa"/>
            <w:vAlign w:val="center"/>
          </w:tcPr>
          <w:p>
            <w:pPr>
              <w:spacing w:line="360" w:lineRule="auto"/>
              <w:rPr>
                <w:color w:val="000000"/>
                <w:sz w:val="18"/>
                <w:szCs w:val="18"/>
              </w:rPr>
            </w:pPr>
            <w:r>
              <w:rPr>
                <w:rFonts w:hint="eastAsia"/>
                <w:color w:val="000000"/>
                <w:sz w:val="18"/>
                <w:szCs w:val="18"/>
              </w:rPr>
              <w:t>西医疾病诊断依据</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color w:val="000000"/>
                <w:sz w:val="18"/>
                <w:szCs w:val="18"/>
              </w:rPr>
            </w:pPr>
          </w:p>
        </w:tc>
        <w:tc>
          <w:tcPr>
            <w:tcW w:w="1063" w:type="dxa"/>
            <w:vMerge w:val="restart"/>
            <w:vAlign w:val="center"/>
          </w:tcPr>
          <w:p>
            <w:pPr>
              <w:spacing w:line="360" w:lineRule="auto"/>
              <w:rPr>
                <w:color w:val="000000"/>
                <w:sz w:val="18"/>
                <w:szCs w:val="18"/>
              </w:rPr>
            </w:pPr>
            <w:r>
              <w:rPr>
                <w:rFonts w:hint="eastAsia"/>
                <w:color w:val="000000"/>
                <w:sz w:val="18"/>
                <w:szCs w:val="18"/>
              </w:rPr>
              <w:t>辨证分类</w:t>
            </w:r>
          </w:p>
        </w:tc>
        <w:tc>
          <w:tcPr>
            <w:tcW w:w="1843" w:type="dxa"/>
            <w:vAlign w:val="center"/>
          </w:tcPr>
          <w:p>
            <w:pPr>
              <w:spacing w:line="360" w:lineRule="auto"/>
              <w:rPr>
                <w:color w:val="000000"/>
                <w:sz w:val="18"/>
                <w:szCs w:val="18"/>
              </w:rPr>
            </w:pPr>
            <w:r>
              <w:rPr>
                <w:rFonts w:hint="eastAsia"/>
                <w:color w:val="000000"/>
                <w:sz w:val="18"/>
                <w:szCs w:val="18"/>
              </w:rPr>
              <w:t>证候分类</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color w:val="000000"/>
                <w:sz w:val="18"/>
                <w:szCs w:val="18"/>
              </w:rPr>
            </w:pPr>
          </w:p>
        </w:tc>
        <w:tc>
          <w:tcPr>
            <w:tcW w:w="1063" w:type="dxa"/>
            <w:vMerge w:val="continue"/>
            <w:vAlign w:val="center"/>
          </w:tcPr>
          <w:p>
            <w:pPr>
              <w:spacing w:line="360" w:lineRule="auto"/>
              <w:rPr>
                <w:color w:val="000000"/>
                <w:sz w:val="18"/>
                <w:szCs w:val="18"/>
              </w:rPr>
            </w:pPr>
          </w:p>
        </w:tc>
        <w:tc>
          <w:tcPr>
            <w:tcW w:w="1843" w:type="dxa"/>
            <w:vAlign w:val="center"/>
          </w:tcPr>
          <w:p>
            <w:pPr>
              <w:spacing w:line="360" w:lineRule="auto"/>
              <w:rPr>
                <w:color w:val="000000"/>
                <w:sz w:val="18"/>
                <w:szCs w:val="18"/>
              </w:rPr>
            </w:pPr>
            <w:r>
              <w:rPr>
                <w:rFonts w:hint="eastAsia"/>
                <w:color w:val="000000"/>
                <w:sz w:val="18"/>
                <w:szCs w:val="18"/>
              </w:rPr>
              <w:t>证候诊断依据</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restart"/>
            <w:vAlign w:val="center"/>
          </w:tcPr>
          <w:p>
            <w:pPr>
              <w:spacing w:line="360" w:lineRule="auto"/>
              <w:rPr>
                <w:color w:val="000000"/>
                <w:sz w:val="18"/>
                <w:szCs w:val="18"/>
              </w:rPr>
            </w:pPr>
            <w:r>
              <w:rPr>
                <w:rFonts w:hint="eastAsia"/>
                <w:color w:val="000000"/>
                <w:sz w:val="18"/>
                <w:szCs w:val="18"/>
              </w:rPr>
              <w:t>治疗</w:t>
            </w:r>
          </w:p>
        </w:tc>
        <w:tc>
          <w:tcPr>
            <w:tcW w:w="1063" w:type="dxa"/>
            <w:vAlign w:val="center"/>
          </w:tcPr>
          <w:p>
            <w:pPr>
              <w:spacing w:line="360" w:lineRule="auto"/>
              <w:rPr>
                <w:color w:val="000000"/>
                <w:sz w:val="18"/>
                <w:szCs w:val="18"/>
              </w:rPr>
            </w:pPr>
            <w:r>
              <w:rPr>
                <w:rFonts w:hint="eastAsia"/>
                <w:color w:val="000000"/>
                <w:sz w:val="18"/>
                <w:szCs w:val="18"/>
              </w:rPr>
              <w:t>治则</w:t>
            </w:r>
          </w:p>
        </w:tc>
        <w:tc>
          <w:tcPr>
            <w:tcW w:w="1843" w:type="dxa"/>
            <w:vAlign w:val="center"/>
          </w:tcPr>
          <w:p>
            <w:pPr>
              <w:spacing w:line="360" w:lineRule="auto"/>
              <w:rPr>
                <w:color w:val="000000"/>
                <w:sz w:val="18"/>
                <w:szCs w:val="18"/>
              </w:rPr>
            </w:pPr>
            <w:r>
              <w:rPr>
                <w:rFonts w:hint="eastAsia"/>
                <w:color w:val="000000"/>
                <w:sz w:val="18"/>
                <w:szCs w:val="18"/>
              </w:rPr>
              <w:t>治则</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color w:val="000000"/>
                <w:sz w:val="18"/>
                <w:szCs w:val="18"/>
              </w:rPr>
            </w:pPr>
          </w:p>
        </w:tc>
        <w:tc>
          <w:tcPr>
            <w:tcW w:w="1063" w:type="dxa"/>
            <w:vMerge w:val="restart"/>
            <w:vAlign w:val="center"/>
          </w:tcPr>
          <w:p>
            <w:pPr>
              <w:spacing w:line="360" w:lineRule="auto"/>
              <w:rPr>
                <w:color w:val="000000"/>
                <w:sz w:val="18"/>
                <w:szCs w:val="18"/>
              </w:rPr>
            </w:pPr>
            <w:r>
              <w:rPr>
                <w:rFonts w:hint="eastAsia"/>
                <w:color w:val="000000"/>
                <w:sz w:val="18"/>
                <w:szCs w:val="18"/>
              </w:rPr>
              <w:t>方药</w:t>
            </w:r>
          </w:p>
        </w:tc>
        <w:tc>
          <w:tcPr>
            <w:tcW w:w="1843" w:type="dxa"/>
            <w:vAlign w:val="center"/>
          </w:tcPr>
          <w:p>
            <w:pPr>
              <w:spacing w:line="360" w:lineRule="auto"/>
              <w:rPr>
                <w:color w:val="000000"/>
                <w:sz w:val="18"/>
                <w:szCs w:val="18"/>
              </w:rPr>
            </w:pPr>
            <w:r>
              <w:rPr>
                <w:rFonts w:hint="eastAsia"/>
                <w:color w:val="000000"/>
                <w:sz w:val="18"/>
                <w:szCs w:val="18"/>
              </w:rPr>
              <w:t>方药</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color w:val="000000"/>
                <w:sz w:val="18"/>
                <w:szCs w:val="18"/>
              </w:rPr>
            </w:pPr>
          </w:p>
        </w:tc>
        <w:tc>
          <w:tcPr>
            <w:tcW w:w="1063" w:type="dxa"/>
            <w:vMerge w:val="continue"/>
            <w:vAlign w:val="center"/>
          </w:tcPr>
          <w:p>
            <w:pPr>
              <w:spacing w:line="360" w:lineRule="auto"/>
              <w:rPr>
                <w:color w:val="000000"/>
                <w:sz w:val="18"/>
                <w:szCs w:val="18"/>
              </w:rPr>
            </w:pPr>
          </w:p>
        </w:tc>
        <w:tc>
          <w:tcPr>
            <w:tcW w:w="1843" w:type="dxa"/>
            <w:vAlign w:val="center"/>
          </w:tcPr>
          <w:p>
            <w:pPr>
              <w:spacing w:line="360" w:lineRule="auto"/>
              <w:rPr>
                <w:color w:val="000000"/>
                <w:sz w:val="18"/>
                <w:szCs w:val="18"/>
              </w:rPr>
            </w:pPr>
            <w:r>
              <w:rPr>
                <w:rFonts w:hint="eastAsia"/>
                <w:sz w:val="18"/>
                <w:szCs w:val="18"/>
              </w:rPr>
              <w:t>主要药物组成与用法</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sz w:val="18"/>
                <w:szCs w:val="18"/>
              </w:rPr>
            </w:pPr>
          </w:p>
        </w:tc>
        <w:tc>
          <w:tcPr>
            <w:tcW w:w="1063" w:type="dxa"/>
            <w:vAlign w:val="center"/>
          </w:tcPr>
          <w:p>
            <w:pPr>
              <w:spacing w:line="360" w:lineRule="auto"/>
              <w:rPr>
                <w:color w:val="000000"/>
                <w:sz w:val="18"/>
                <w:szCs w:val="18"/>
              </w:rPr>
            </w:pPr>
            <w:r>
              <w:rPr>
                <w:rFonts w:hint="eastAsia"/>
                <w:sz w:val="18"/>
                <w:szCs w:val="18"/>
              </w:rPr>
              <w:t>中成药</w:t>
            </w:r>
          </w:p>
        </w:tc>
        <w:tc>
          <w:tcPr>
            <w:tcW w:w="1843" w:type="dxa"/>
            <w:vAlign w:val="center"/>
          </w:tcPr>
          <w:p>
            <w:pPr>
              <w:spacing w:line="360" w:lineRule="auto"/>
              <w:rPr>
                <w:color w:val="000000"/>
                <w:sz w:val="18"/>
                <w:szCs w:val="18"/>
              </w:rPr>
            </w:pPr>
            <w:r>
              <w:rPr>
                <w:rFonts w:hint="eastAsia"/>
                <w:sz w:val="18"/>
                <w:szCs w:val="18"/>
              </w:rPr>
              <w:t>中成药与用法</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360" w:lineRule="auto"/>
              <w:rPr>
                <w:sz w:val="18"/>
                <w:szCs w:val="18"/>
              </w:rPr>
            </w:pPr>
          </w:p>
        </w:tc>
        <w:tc>
          <w:tcPr>
            <w:tcW w:w="1063" w:type="dxa"/>
            <w:vAlign w:val="center"/>
          </w:tcPr>
          <w:p>
            <w:pPr>
              <w:spacing w:line="360" w:lineRule="auto"/>
              <w:rPr>
                <w:color w:val="000000"/>
                <w:sz w:val="18"/>
                <w:szCs w:val="18"/>
              </w:rPr>
            </w:pPr>
            <w:r>
              <w:rPr>
                <w:rFonts w:hint="eastAsia"/>
                <w:sz w:val="18"/>
                <w:szCs w:val="18"/>
              </w:rPr>
              <w:t>其他治法</w:t>
            </w:r>
          </w:p>
        </w:tc>
        <w:tc>
          <w:tcPr>
            <w:tcW w:w="1843" w:type="dxa"/>
            <w:vAlign w:val="center"/>
          </w:tcPr>
          <w:p>
            <w:pPr>
              <w:spacing w:line="360" w:lineRule="auto"/>
              <w:rPr>
                <w:color w:val="000000"/>
                <w:sz w:val="18"/>
                <w:szCs w:val="18"/>
              </w:rPr>
            </w:pPr>
            <w:r>
              <w:rPr>
                <w:rFonts w:hint="eastAsia"/>
                <w:sz w:val="18"/>
                <w:szCs w:val="18"/>
              </w:rPr>
              <w:t>其他治法与治疗方案</w:t>
            </w:r>
          </w:p>
        </w:tc>
        <w:tc>
          <w:tcPr>
            <w:tcW w:w="750" w:type="dxa"/>
            <w:vAlign w:val="center"/>
          </w:tcPr>
          <w:p>
            <w:pPr>
              <w:spacing w:line="360" w:lineRule="auto"/>
              <w:rPr>
                <w:color w:val="000000"/>
                <w:sz w:val="18"/>
                <w:szCs w:val="18"/>
              </w:rPr>
            </w:pPr>
          </w:p>
        </w:tc>
        <w:tc>
          <w:tcPr>
            <w:tcW w:w="951" w:type="dxa"/>
            <w:vAlign w:val="center"/>
          </w:tcPr>
          <w:p>
            <w:pPr>
              <w:spacing w:line="360" w:lineRule="auto"/>
              <w:rPr>
                <w:color w:val="000000"/>
                <w:sz w:val="18"/>
                <w:szCs w:val="18"/>
              </w:rPr>
            </w:pPr>
          </w:p>
        </w:tc>
        <w:tc>
          <w:tcPr>
            <w:tcW w:w="850" w:type="dxa"/>
            <w:vAlign w:val="center"/>
          </w:tcPr>
          <w:p>
            <w:pPr>
              <w:spacing w:line="360" w:lineRule="auto"/>
              <w:rPr>
                <w:color w:val="000000"/>
                <w:sz w:val="18"/>
                <w:szCs w:val="18"/>
              </w:rPr>
            </w:pPr>
          </w:p>
        </w:tc>
        <w:tc>
          <w:tcPr>
            <w:tcW w:w="851" w:type="dxa"/>
            <w:vAlign w:val="center"/>
          </w:tcPr>
          <w:p>
            <w:pPr>
              <w:spacing w:line="360" w:lineRule="auto"/>
              <w:rPr>
                <w:color w:val="000000"/>
                <w:sz w:val="18"/>
                <w:szCs w:val="18"/>
              </w:rPr>
            </w:pPr>
          </w:p>
        </w:tc>
        <w:tc>
          <w:tcPr>
            <w:tcW w:w="815" w:type="dxa"/>
            <w:vAlign w:val="center"/>
          </w:tcPr>
          <w:p>
            <w:pPr>
              <w:spacing w:line="360" w:lineRule="auto"/>
              <w:rPr>
                <w:color w:val="000000"/>
                <w:sz w:val="18"/>
                <w:szCs w:val="18"/>
              </w:rPr>
            </w:pPr>
          </w:p>
        </w:tc>
        <w:tc>
          <w:tcPr>
            <w:tcW w:w="957" w:type="dxa"/>
            <w:vAlign w:val="center"/>
          </w:tcPr>
          <w:p>
            <w:pPr>
              <w:spacing w:line="360" w:lineRule="auto"/>
              <w:rPr>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1737" w:type="dxa"/>
            <w:gridSpan w:val="2"/>
            <w:tcBorders>
              <w:bottom w:val="single" w:color="auto" w:sz="4" w:space="0"/>
            </w:tcBorders>
            <w:vAlign w:val="center"/>
          </w:tcPr>
          <w:p>
            <w:pPr>
              <w:spacing w:line="360" w:lineRule="auto"/>
              <w:rPr>
                <w:color w:val="000000"/>
                <w:sz w:val="18"/>
                <w:szCs w:val="18"/>
              </w:rPr>
            </w:pPr>
            <w:r>
              <w:rPr>
                <w:rFonts w:hint="eastAsia"/>
                <w:sz w:val="18"/>
                <w:szCs w:val="18"/>
              </w:rPr>
              <w:t>调摄与预防</w:t>
            </w:r>
          </w:p>
        </w:tc>
        <w:tc>
          <w:tcPr>
            <w:tcW w:w="1843" w:type="dxa"/>
            <w:tcBorders>
              <w:bottom w:val="single" w:color="auto" w:sz="4" w:space="0"/>
            </w:tcBorders>
            <w:vAlign w:val="center"/>
          </w:tcPr>
          <w:p>
            <w:pPr>
              <w:spacing w:line="360" w:lineRule="auto"/>
              <w:rPr>
                <w:color w:val="000000"/>
                <w:sz w:val="18"/>
                <w:szCs w:val="18"/>
              </w:rPr>
            </w:pPr>
            <w:r>
              <w:rPr>
                <w:rFonts w:hint="eastAsia"/>
                <w:sz w:val="18"/>
                <w:szCs w:val="18"/>
              </w:rPr>
              <w:t>调摄与预防措施</w:t>
            </w:r>
          </w:p>
        </w:tc>
        <w:tc>
          <w:tcPr>
            <w:tcW w:w="750" w:type="dxa"/>
            <w:tcBorders>
              <w:bottom w:val="single" w:color="auto" w:sz="4" w:space="0"/>
            </w:tcBorders>
            <w:vAlign w:val="center"/>
          </w:tcPr>
          <w:p>
            <w:pPr>
              <w:spacing w:line="360" w:lineRule="auto"/>
              <w:rPr>
                <w:color w:val="000000"/>
                <w:sz w:val="18"/>
                <w:szCs w:val="18"/>
              </w:rPr>
            </w:pPr>
          </w:p>
        </w:tc>
        <w:tc>
          <w:tcPr>
            <w:tcW w:w="951" w:type="dxa"/>
            <w:tcBorders>
              <w:bottom w:val="single" w:color="auto" w:sz="4" w:space="0"/>
            </w:tcBorders>
            <w:vAlign w:val="center"/>
          </w:tcPr>
          <w:p>
            <w:pPr>
              <w:spacing w:line="360" w:lineRule="auto"/>
              <w:rPr>
                <w:color w:val="000000"/>
                <w:sz w:val="18"/>
                <w:szCs w:val="18"/>
              </w:rPr>
            </w:pPr>
          </w:p>
        </w:tc>
        <w:tc>
          <w:tcPr>
            <w:tcW w:w="850" w:type="dxa"/>
            <w:tcBorders>
              <w:bottom w:val="single" w:color="auto" w:sz="4" w:space="0"/>
            </w:tcBorders>
            <w:vAlign w:val="center"/>
          </w:tcPr>
          <w:p>
            <w:pPr>
              <w:spacing w:line="360" w:lineRule="auto"/>
              <w:rPr>
                <w:color w:val="000000"/>
                <w:sz w:val="18"/>
                <w:szCs w:val="18"/>
              </w:rPr>
            </w:pPr>
          </w:p>
        </w:tc>
        <w:tc>
          <w:tcPr>
            <w:tcW w:w="851" w:type="dxa"/>
            <w:tcBorders>
              <w:bottom w:val="single" w:color="auto" w:sz="4" w:space="0"/>
            </w:tcBorders>
            <w:vAlign w:val="center"/>
          </w:tcPr>
          <w:p>
            <w:pPr>
              <w:spacing w:line="360" w:lineRule="auto"/>
              <w:rPr>
                <w:color w:val="000000"/>
                <w:sz w:val="18"/>
                <w:szCs w:val="18"/>
              </w:rPr>
            </w:pPr>
          </w:p>
        </w:tc>
        <w:tc>
          <w:tcPr>
            <w:tcW w:w="815" w:type="dxa"/>
            <w:tcBorders>
              <w:bottom w:val="single" w:color="auto" w:sz="4" w:space="0"/>
            </w:tcBorders>
            <w:vAlign w:val="center"/>
          </w:tcPr>
          <w:p>
            <w:pPr>
              <w:spacing w:line="360" w:lineRule="auto"/>
              <w:rPr>
                <w:color w:val="000000"/>
                <w:sz w:val="18"/>
                <w:szCs w:val="18"/>
              </w:rPr>
            </w:pPr>
          </w:p>
        </w:tc>
        <w:tc>
          <w:tcPr>
            <w:tcW w:w="957" w:type="dxa"/>
            <w:tcBorders>
              <w:bottom w:val="single" w:color="auto" w:sz="4" w:space="0"/>
            </w:tcBorders>
            <w:vAlign w:val="center"/>
          </w:tcPr>
          <w:p>
            <w:pPr>
              <w:spacing w:line="360" w:lineRule="auto"/>
              <w:rPr>
                <w:color w:val="000000"/>
                <w:sz w:val="18"/>
                <w:szCs w:val="18"/>
              </w:rPr>
            </w:pPr>
          </w:p>
        </w:tc>
      </w:tr>
    </w:tbl>
    <w:p>
      <w:pPr>
        <w:jc w:val="left"/>
        <w:rPr>
          <w:color w:val="000000"/>
          <w:sz w:val="18"/>
          <w:szCs w:val="18"/>
        </w:rPr>
      </w:pPr>
      <w:r>
        <w:rPr>
          <w:rFonts w:hint="eastAsia"/>
          <w:color w:val="000000"/>
          <w:sz w:val="18"/>
          <w:szCs w:val="18"/>
        </w:rPr>
        <w:t>注：</w:t>
      </w:r>
      <w:r>
        <w:rPr>
          <w:color w:val="000000"/>
          <w:sz w:val="18"/>
          <w:szCs w:val="18"/>
        </w:rPr>
        <w:t>N</w:t>
      </w:r>
      <w:r>
        <w:rPr>
          <w:rFonts w:hint="eastAsia"/>
          <w:color w:val="000000"/>
          <w:sz w:val="18"/>
          <w:szCs w:val="18"/>
        </w:rPr>
        <w:t>是评价总例数，</w:t>
      </w:r>
      <w:r>
        <w:rPr>
          <w:color w:val="000000"/>
          <w:sz w:val="18"/>
          <w:szCs w:val="18"/>
        </w:rPr>
        <w:t>n</w:t>
      </w:r>
      <w:r>
        <w:rPr>
          <w:rFonts w:hint="eastAsia"/>
          <w:color w:val="000000"/>
          <w:sz w:val="18"/>
          <w:szCs w:val="18"/>
        </w:rPr>
        <w:t>是每一类别相应一致性评价的病例数量，</w:t>
      </w:r>
      <w:r>
        <w:rPr>
          <w:color w:val="000000"/>
          <w:sz w:val="18"/>
          <w:szCs w:val="18"/>
        </w:rPr>
        <w:t xml:space="preserve"> (%)=n/N</w:t>
      </w:r>
      <w:r>
        <w:rPr>
          <w:rFonts w:hint="eastAsia"/>
          <w:color w:val="000000"/>
          <w:sz w:val="18"/>
          <w:szCs w:val="18"/>
        </w:rPr>
        <w:t>×</w:t>
      </w:r>
      <w:r>
        <w:rPr>
          <w:color w:val="000000"/>
          <w:sz w:val="18"/>
          <w:szCs w:val="18"/>
        </w:rPr>
        <w:t>100%</w:t>
      </w:r>
      <w:r>
        <w:rPr>
          <w:rFonts w:hint="eastAsia"/>
          <w:color w:val="000000"/>
          <w:sz w:val="18"/>
          <w:szCs w:val="18"/>
        </w:rPr>
        <w:t>；一致率，即</w:t>
      </w:r>
      <w:r>
        <w:rPr>
          <w:color w:val="000000"/>
          <w:sz w:val="18"/>
          <w:szCs w:val="18"/>
        </w:rPr>
        <w:t>(</w:t>
      </w:r>
      <w:r>
        <w:rPr>
          <w:rFonts w:hint="eastAsia"/>
          <w:color w:val="000000"/>
          <w:sz w:val="18"/>
          <w:szCs w:val="18"/>
        </w:rPr>
        <w:t>一致例数</w:t>
      </w:r>
      <w:r>
        <w:rPr>
          <w:color w:val="000000"/>
          <w:sz w:val="18"/>
          <w:szCs w:val="18"/>
        </w:rPr>
        <w:t>+</w:t>
      </w:r>
      <w:r>
        <w:rPr>
          <w:rFonts w:hint="eastAsia"/>
          <w:color w:val="000000"/>
          <w:sz w:val="18"/>
          <w:szCs w:val="18"/>
        </w:rPr>
        <w:t>比较一致例数</w:t>
      </w:r>
      <w:r>
        <w:rPr>
          <w:color w:val="000000"/>
          <w:sz w:val="18"/>
          <w:szCs w:val="18"/>
        </w:rPr>
        <w:t>)/</w:t>
      </w:r>
      <w:r>
        <w:rPr>
          <w:rFonts w:hint="eastAsia"/>
          <w:color w:val="000000"/>
          <w:sz w:val="18"/>
          <w:szCs w:val="18"/>
        </w:rPr>
        <w:t>评价总例数×</w:t>
      </w:r>
      <w:r>
        <w:rPr>
          <w:color w:val="000000"/>
          <w:sz w:val="18"/>
          <w:szCs w:val="18"/>
        </w:rPr>
        <w:t>100%</w:t>
      </w:r>
      <w:r>
        <w:rPr>
          <w:rFonts w:hint="eastAsia"/>
          <w:color w:val="000000"/>
          <w:sz w:val="18"/>
          <w:szCs w:val="18"/>
        </w:rPr>
        <w:t>；每一病例的诊疗信息符合指南中对应的诊疗推荐意见即为一致。</w:t>
      </w:r>
    </w:p>
    <w:p>
      <w:pPr>
        <w:rPr>
          <w:sz w:val="24"/>
        </w:rPr>
      </w:pPr>
      <w:r>
        <w:rPr>
          <w:rFonts w:hint="eastAsia" w:ascii="宋体" w:hAnsi="宋体"/>
          <w:bCs/>
          <w:kern w:val="44"/>
          <w:sz w:val="24"/>
        </w:rPr>
        <w:t>二、</w:t>
      </w:r>
      <w:r>
        <w:rPr>
          <w:rFonts w:hint="eastAsia"/>
          <w:sz w:val="24"/>
        </w:rPr>
        <w:t>指南临床试用不一致原因分析</w:t>
      </w:r>
    </w:p>
    <w:p>
      <w:pPr>
        <w:jc w:val="center"/>
        <w:rPr>
          <w:rFonts w:ascii="宋体"/>
          <w:sz w:val="28"/>
          <w:szCs w:val="28"/>
        </w:rPr>
      </w:pPr>
      <w:r>
        <w:rPr>
          <w:rFonts w:hint="eastAsia" w:ascii="黑体" w:hAnsi="黑体" w:eastAsia="黑体"/>
          <w:color w:val="000000"/>
          <w:sz w:val="18"/>
          <w:szCs w:val="18"/>
        </w:rPr>
        <w:t>表</w:t>
      </w:r>
      <w:r>
        <w:rPr>
          <w:rFonts w:ascii="黑体" w:hAnsi="黑体" w:eastAsia="黑体"/>
          <w:color w:val="000000"/>
          <w:sz w:val="18"/>
          <w:szCs w:val="18"/>
        </w:rPr>
        <w:t xml:space="preserve">2 </w:t>
      </w:r>
      <w:r>
        <w:rPr>
          <w:rFonts w:hint="eastAsia"/>
          <w:sz w:val="18"/>
          <w:szCs w:val="18"/>
        </w:rPr>
        <w:t>指南临床试用不一致原因汇总分析表</w:t>
      </w:r>
    </w:p>
    <w:tbl>
      <w:tblPr>
        <w:tblStyle w:val="9"/>
        <w:tblW w:w="8093" w:type="dxa"/>
        <w:jc w:val="center"/>
        <w:tblInd w:w="0" w:type="dxa"/>
        <w:tblLayout w:type="fixed"/>
        <w:tblCellMar>
          <w:top w:w="0" w:type="dxa"/>
          <w:left w:w="108" w:type="dxa"/>
          <w:bottom w:w="0" w:type="dxa"/>
          <w:right w:w="108" w:type="dxa"/>
        </w:tblCellMar>
      </w:tblPr>
      <w:tblGrid>
        <w:gridCol w:w="674"/>
        <w:gridCol w:w="1063"/>
        <w:gridCol w:w="1748"/>
        <w:gridCol w:w="2198"/>
        <w:gridCol w:w="1134"/>
        <w:gridCol w:w="1276"/>
      </w:tblGrid>
      <w:tr>
        <w:tblPrEx>
          <w:tblLayout w:type="fixed"/>
          <w:tblCellMar>
            <w:top w:w="0" w:type="dxa"/>
            <w:left w:w="108" w:type="dxa"/>
            <w:bottom w:w="0" w:type="dxa"/>
            <w:right w:w="108" w:type="dxa"/>
          </w:tblCellMar>
        </w:tblPrEx>
        <w:trPr>
          <w:trHeight w:val="567" w:hRule="atLeast"/>
          <w:jc w:val="center"/>
        </w:trPr>
        <w:tc>
          <w:tcPr>
            <w:tcW w:w="1737" w:type="dxa"/>
            <w:gridSpan w:val="2"/>
            <w:vMerge w:val="restart"/>
            <w:tcBorders>
              <w:top w:val="single" w:color="auto" w:sz="4" w:space="0"/>
            </w:tcBorders>
            <w:vAlign w:val="center"/>
          </w:tcPr>
          <w:p>
            <w:pPr>
              <w:pStyle w:val="14"/>
              <w:spacing w:line="400" w:lineRule="exact"/>
              <w:rPr>
                <w:rFonts w:ascii="宋体"/>
                <w:b w:val="0"/>
                <w:sz w:val="18"/>
                <w:szCs w:val="18"/>
              </w:rPr>
            </w:pPr>
            <w:r>
              <w:rPr>
                <w:rFonts w:hint="eastAsia" w:ascii="宋体" w:hAnsi="宋体"/>
                <w:b w:val="0"/>
                <w:sz w:val="18"/>
                <w:szCs w:val="18"/>
              </w:rPr>
              <w:t>类别</w:t>
            </w:r>
          </w:p>
        </w:tc>
        <w:tc>
          <w:tcPr>
            <w:tcW w:w="1748" w:type="dxa"/>
            <w:vMerge w:val="restart"/>
            <w:tcBorders>
              <w:top w:val="single" w:color="auto" w:sz="4" w:space="0"/>
            </w:tcBorders>
            <w:vAlign w:val="center"/>
          </w:tcPr>
          <w:p>
            <w:pPr>
              <w:pStyle w:val="14"/>
              <w:spacing w:line="400" w:lineRule="exact"/>
              <w:rPr>
                <w:rFonts w:ascii="宋体"/>
                <w:b w:val="0"/>
                <w:sz w:val="18"/>
                <w:szCs w:val="18"/>
              </w:rPr>
            </w:pPr>
            <w:r>
              <w:rPr>
                <w:rFonts w:hint="eastAsia" w:ascii="宋体" w:hAnsi="宋体"/>
                <w:b w:val="0"/>
                <w:sz w:val="18"/>
                <w:szCs w:val="18"/>
              </w:rPr>
              <w:t>内容</w:t>
            </w:r>
          </w:p>
        </w:tc>
        <w:tc>
          <w:tcPr>
            <w:tcW w:w="3332" w:type="dxa"/>
            <w:gridSpan w:val="2"/>
            <w:tcBorders>
              <w:top w:val="single" w:color="auto" w:sz="4" w:space="0"/>
            </w:tcBorders>
            <w:vAlign w:val="center"/>
          </w:tcPr>
          <w:p>
            <w:pPr>
              <w:pStyle w:val="15"/>
              <w:spacing w:line="400" w:lineRule="exact"/>
              <w:rPr>
                <w:rFonts w:ascii="宋体"/>
                <w:sz w:val="18"/>
                <w:szCs w:val="18"/>
              </w:rPr>
            </w:pPr>
            <w:r>
              <w:rPr>
                <w:rFonts w:hint="eastAsia" w:ascii="宋体" w:hAnsi="宋体"/>
                <w:sz w:val="18"/>
                <w:szCs w:val="18"/>
              </w:rPr>
              <w:t>不一致原因汇总分析</w:t>
            </w:r>
          </w:p>
        </w:tc>
        <w:tc>
          <w:tcPr>
            <w:tcW w:w="1276" w:type="dxa"/>
            <w:vMerge w:val="restart"/>
            <w:tcBorders>
              <w:top w:val="single" w:color="auto" w:sz="4" w:space="0"/>
            </w:tcBorders>
            <w:vAlign w:val="center"/>
          </w:tcPr>
          <w:p>
            <w:pPr>
              <w:pStyle w:val="14"/>
              <w:rPr>
                <w:rFonts w:ascii="宋体"/>
                <w:b w:val="0"/>
                <w:sz w:val="18"/>
                <w:szCs w:val="18"/>
              </w:rPr>
            </w:pPr>
            <w:r>
              <w:rPr>
                <w:rFonts w:hint="eastAsia" w:ascii="宋体" w:hAnsi="宋体"/>
                <w:b w:val="0"/>
                <w:sz w:val="18"/>
                <w:szCs w:val="18"/>
              </w:rPr>
              <w:t>指南草案修改</w:t>
            </w:r>
          </w:p>
          <w:p>
            <w:pPr>
              <w:pStyle w:val="14"/>
              <w:rPr>
                <w:rFonts w:ascii="宋体"/>
                <w:b w:val="0"/>
                <w:sz w:val="18"/>
                <w:szCs w:val="18"/>
              </w:rPr>
            </w:pPr>
            <w:r>
              <w:rPr>
                <w:rFonts w:hint="eastAsia" w:ascii="宋体" w:hAnsi="宋体"/>
                <w:b w:val="0"/>
                <w:sz w:val="18"/>
                <w:szCs w:val="18"/>
              </w:rPr>
              <w:t>意见</w:t>
            </w:r>
          </w:p>
        </w:tc>
      </w:tr>
      <w:tr>
        <w:tblPrEx>
          <w:tblLayout w:type="fixed"/>
          <w:tblCellMar>
            <w:top w:w="0" w:type="dxa"/>
            <w:left w:w="108" w:type="dxa"/>
            <w:bottom w:w="0" w:type="dxa"/>
            <w:right w:w="108" w:type="dxa"/>
          </w:tblCellMar>
        </w:tblPrEx>
        <w:trPr>
          <w:trHeight w:val="468" w:hRule="atLeast"/>
          <w:jc w:val="center"/>
        </w:trPr>
        <w:tc>
          <w:tcPr>
            <w:tcW w:w="1737" w:type="dxa"/>
            <w:gridSpan w:val="2"/>
            <w:vMerge w:val="continue"/>
            <w:tcBorders>
              <w:bottom w:val="single" w:color="auto" w:sz="4" w:space="0"/>
            </w:tcBorders>
            <w:vAlign w:val="center"/>
          </w:tcPr>
          <w:p>
            <w:pPr>
              <w:pStyle w:val="14"/>
              <w:spacing w:line="400" w:lineRule="exact"/>
              <w:rPr>
                <w:rFonts w:ascii="宋体"/>
                <w:b w:val="0"/>
                <w:sz w:val="18"/>
                <w:szCs w:val="18"/>
              </w:rPr>
            </w:pPr>
          </w:p>
        </w:tc>
        <w:tc>
          <w:tcPr>
            <w:tcW w:w="1748" w:type="dxa"/>
            <w:vMerge w:val="continue"/>
            <w:tcBorders>
              <w:bottom w:val="single" w:color="auto" w:sz="4" w:space="0"/>
            </w:tcBorders>
            <w:vAlign w:val="center"/>
          </w:tcPr>
          <w:p>
            <w:pPr>
              <w:pStyle w:val="14"/>
              <w:spacing w:line="400" w:lineRule="exact"/>
              <w:rPr>
                <w:rFonts w:ascii="宋体"/>
                <w:b w:val="0"/>
                <w:sz w:val="18"/>
                <w:szCs w:val="18"/>
              </w:rPr>
            </w:pPr>
          </w:p>
        </w:tc>
        <w:tc>
          <w:tcPr>
            <w:tcW w:w="2198" w:type="dxa"/>
            <w:tcBorders>
              <w:bottom w:val="single" w:color="auto" w:sz="4" w:space="0"/>
            </w:tcBorders>
            <w:vAlign w:val="center"/>
          </w:tcPr>
          <w:p>
            <w:pPr>
              <w:pStyle w:val="14"/>
              <w:spacing w:line="400" w:lineRule="exact"/>
              <w:rPr>
                <w:rFonts w:ascii="宋体"/>
                <w:b w:val="0"/>
                <w:sz w:val="18"/>
                <w:szCs w:val="18"/>
              </w:rPr>
            </w:pPr>
            <w:r>
              <w:rPr>
                <w:rFonts w:hint="eastAsia" w:ascii="宋体" w:hAnsi="宋体"/>
                <w:b w:val="0"/>
                <w:sz w:val="18"/>
                <w:szCs w:val="18"/>
              </w:rPr>
              <w:t>不一致因素汇总</w:t>
            </w:r>
          </w:p>
        </w:tc>
        <w:tc>
          <w:tcPr>
            <w:tcW w:w="1134" w:type="dxa"/>
            <w:tcBorders>
              <w:bottom w:val="single" w:color="auto" w:sz="4" w:space="0"/>
            </w:tcBorders>
            <w:vAlign w:val="center"/>
          </w:tcPr>
          <w:p>
            <w:pPr>
              <w:pStyle w:val="14"/>
              <w:spacing w:line="400" w:lineRule="exact"/>
              <w:rPr>
                <w:rFonts w:ascii="宋体"/>
                <w:b w:val="0"/>
                <w:sz w:val="18"/>
                <w:szCs w:val="18"/>
              </w:rPr>
            </w:pPr>
            <w:r>
              <w:rPr>
                <w:rFonts w:hint="eastAsia" w:ascii="宋体" w:hAnsi="宋体"/>
                <w:b w:val="0"/>
                <w:sz w:val="18"/>
                <w:szCs w:val="18"/>
              </w:rPr>
              <w:t>是否为指南技术内容因素</w:t>
            </w:r>
          </w:p>
        </w:tc>
        <w:tc>
          <w:tcPr>
            <w:tcW w:w="1276" w:type="dxa"/>
            <w:vMerge w:val="continue"/>
            <w:tcBorders>
              <w:bottom w:val="single" w:color="auto" w:sz="4" w:space="0"/>
            </w:tcBorders>
            <w:vAlign w:val="center"/>
          </w:tcPr>
          <w:p>
            <w:pPr>
              <w:pStyle w:val="14"/>
              <w:rPr>
                <w:rFonts w:ascii="宋体"/>
                <w:b w:val="0"/>
                <w:sz w:val="18"/>
                <w:szCs w:val="18"/>
              </w:rPr>
            </w:pPr>
          </w:p>
        </w:tc>
      </w:tr>
      <w:tr>
        <w:tblPrEx>
          <w:tblLayout w:type="fixed"/>
          <w:tblCellMar>
            <w:top w:w="0" w:type="dxa"/>
            <w:left w:w="108" w:type="dxa"/>
            <w:bottom w:w="0" w:type="dxa"/>
            <w:right w:w="108" w:type="dxa"/>
          </w:tblCellMar>
        </w:tblPrEx>
        <w:trPr>
          <w:trHeight w:val="458" w:hRule="atLeast"/>
          <w:jc w:val="center"/>
        </w:trPr>
        <w:tc>
          <w:tcPr>
            <w:tcW w:w="674" w:type="dxa"/>
            <w:vMerge w:val="restart"/>
            <w:tcBorders>
              <w:top w:val="single" w:color="auto" w:sz="4" w:space="0"/>
            </w:tcBorders>
            <w:vAlign w:val="center"/>
          </w:tcPr>
          <w:p>
            <w:pPr>
              <w:spacing w:line="400" w:lineRule="exact"/>
              <w:rPr>
                <w:rFonts w:ascii="宋体"/>
                <w:color w:val="000000"/>
                <w:sz w:val="18"/>
                <w:szCs w:val="18"/>
              </w:rPr>
            </w:pPr>
            <w:r>
              <w:rPr>
                <w:rFonts w:hint="eastAsia" w:ascii="宋体" w:hAnsi="宋体"/>
                <w:color w:val="000000"/>
                <w:sz w:val="18"/>
                <w:szCs w:val="18"/>
              </w:rPr>
              <w:t>诊断</w:t>
            </w:r>
          </w:p>
        </w:tc>
        <w:tc>
          <w:tcPr>
            <w:tcW w:w="1063" w:type="dxa"/>
            <w:vMerge w:val="restart"/>
            <w:tcBorders>
              <w:top w:val="single" w:color="auto" w:sz="4" w:space="0"/>
            </w:tcBorders>
            <w:vAlign w:val="center"/>
          </w:tcPr>
          <w:p>
            <w:pPr>
              <w:spacing w:line="400" w:lineRule="exact"/>
              <w:rPr>
                <w:rFonts w:ascii="宋体"/>
                <w:color w:val="000000"/>
                <w:sz w:val="18"/>
                <w:szCs w:val="18"/>
              </w:rPr>
            </w:pPr>
            <w:r>
              <w:rPr>
                <w:rFonts w:hint="eastAsia" w:ascii="宋体" w:hAnsi="宋体"/>
                <w:color w:val="000000"/>
                <w:sz w:val="18"/>
                <w:szCs w:val="18"/>
              </w:rPr>
              <w:t>中医诊断</w:t>
            </w:r>
          </w:p>
        </w:tc>
        <w:tc>
          <w:tcPr>
            <w:tcW w:w="1748" w:type="dxa"/>
            <w:tcBorders>
              <w:top w:val="single" w:color="auto" w:sz="4" w:space="0"/>
            </w:tcBorders>
            <w:vAlign w:val="center"/>
          </w:tcPr>
          <w:p>
            <w:pPr>
              <w:spacing w:line="400" w:lineRule="exact"/>
              <w:rPr>
                <w:rFonts w:ascii="宋体"/>
                <w:color w:val="000000"/>
                <w:sz w:val="18"/>
                <w:szCs w:val="18"/>
              </w:rPr>
            </w:pPr>
            <w:r>
              <w:rPr>
                <w:rFonts w:hint="eastAsia" w:ascii="宋体" w:hAnsi="宋体"/>
                <w:color w:val="000000"/>
                <w:sz w:val="18"/>
                <w:szCs w:val="18"/>
              </w:rPr>
              <w:t>中医疾病诊断</w:t>
            </w:r>
          </w:p>
        </w:tc>
        <w:tc>
          <w:tcPr>
            <w:tcW w:w="2198" w:type="dxa"/>
            <w:tcBorders>
              <w:top w:val="single" w:color="auto" w:sz="4" w:space="0"/>
            </w:tcBorders>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Borders>
              <w:top w:val="single" w:color="auto" w:sz="4" w:space="0"/>
            </w:tcBorders>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tcBorders>
              <w:top w:val="single" w:color="auto" w:sz="4" w:space="0"/>
            </w:tcBorders>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continue"/>
            <w:vAlign w:val="center"/>
          </w:tcPr>
          <w:p>
            <w:pPr>
              <w:spacing w:line="400" w:lineRule="exact"/>
              <w:rPr>
                <w:rFonts w:ascii="宋体"/>
                <w:color w:val="000000"/>
                <w:sz w:val="18"/>
                <w:szCs w:val="18"/>
              </w:rPr>
            </w:pP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中医疾病诊断依据</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restart"/>
            <w:vAlign w:val="center"/>
          </w:tcPr>
          <w:p>
            <w:pPr>
              <w:spacing w:line="400" w:lineRule="exact"/>
              <w:rPr>
                <w:rFonts w:ascii="宋体"/>
                <w:color w:val="000000"/>
                <w:sz w:val="18"/>
                <w:szCs w:val="18"/>
              </w:rPr>
            </w:pPr>
            <w:r>
              <w:rPr>
                <w:rFonts w:hint="eastAsia" w:ascii="宋体" w:hAnsi="宋体"/>
                <w:color w:val="000000"/>
                <w:sz w:val="18"/>
                <w:szCs w:val="18"/>
              </w:rPr>
              <w:t>西医诊断</w:t>
            </w: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西医疾病诊断</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64"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continue"/>
            <w:vAlign w:val="center"/>
          </w:tcPr>
          <w:p>
            <w:pPr>
              <w:spacing w:line="400" w:lineRule="exact"/>
              <w:rPr>
                <w:rFonts w:ascii="宋体"/>
                <w:color w:val="000000"/>
                <w:sz w:val="18"/>
                <w:szCs w:val="18"/>
              </w:rPr>
            </w:pP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西医疾病诊断依据</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restart"/>
            <w:vAlign w:val="center"/>
          </w:tcPr>
          <w:p>
            <w:pPr>
              <w:spacing w:line="400" w:lineRule="exact"/>
              <w:rPr>
                <w:rFonts w:ascii="宋体"/>
                <w:color w:val="000000"/>
                <w:sz w:val="18"/>
                <w:szCs w:val="18"/>
              </w:rPr>
            </w:pPr>
            <w:r>
              <w:rPr>
                <w:rFonts w:hint="eastAsia" w:ascii="宋体" w:hAnsi="宋体"/>
                <w:color w:val="000000"/>
                <w:sz w:val="18"/>
                <w:szCs w:val="18"/>
              </w:rPr>
              <w:t>辨证分类</w:t>
            </w: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证候分类</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continue"/>
            <w:vAlign w:val="center"/>
          </w:tcPr>
          <w:p>
            <w:pPr>
              <w:spacing w:line="400" w:lineRule="exact"/>
              <w:rPr>
                <w:rFonts w:ascii="宋体"/>
                <w:color w:val="000000"/>
                <w:sz w:val="18"/>
                <w:szCs w:val="18"/>
              </w:rPr>
            </w:pP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证候诊断依据</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restart"/>
            <w:vAlign w:val="center"/>
          </w:tcPr>
          <w:p>
            <w:pPr>
              <w:spacing w:line="400" w:lineRule="exact"/>
              <w:rPr>
                <w:rFonts w:ascii="宋体"/>
                <w:color w:val="000000"/>
                <w:sz w:val="18"/>
                <w:szCs w:val="18"/>
              </w:rPr>
            </w:pPr>
            <w:r>
              <w:rPr>
                <w:rFonts w:hint="eastAsia" w:ascii="宋体" w:hAnsi="宋体"/>
                <w:color w:val="000000"/>
                <w:sz w:val="18"/>
                <w:szCs w:val="18"/>
              </w:rPr>
              <w:t>治疗</w:t>
            </w:r>
          </w:p>
        </w:tc>
        <w:tc>
          <w:tcPr>
            <w:tcW w:w="1063" w:type="dxa"/>
            <w:vAlign w:val="center"/>
          </w:tcPr>
          <w:p>
            <w:pPr>
              <w:spacing w:line="400" w:lineRule="exact"/>
              <w:rPr>
                <w:rFonts w:ascii="宋体"/>
                <w:color w:val="000000"/>
                <w:sz w:val="18"/>
                <w:szCs w:val="18"/>
              </w:rPr>
            </w:pPr>
            <w:r>
              <w:rPr>
                <w:rFonts w:hint="eastAsia" w:ascii="宋体" w:hAnsi="宋体"/>
                <w:color w:val="000000"/>
                <w:sz w:val="18"/>
                <w:szCs w:val="18"/>
              </w:rPr>
              <w:t>治则</w:t>
            </w: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治则</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restart"/>
            <w:vAlign w:val="center"/>
          </w:tcPr>
          <w:p>
            <w:pPr>
              <w:spacing w:line="400" w:lineRule="exact"/>
              <w:rPr>
                <w:rFonts w:ascii="宋体"/>
                <w:color w:val="000000"/>
                <w:sz w:val="18"/>
                <w:szCs w:val="18"/>
              </w:rPr>
            </w:pPr>
            <w:r>
              <w:rPr>
                <w:rFonts w:hint="eastAsia" w:ascii="宋体" w:hAnsi="宋体"/>
                <w:color w:val="000000"/>
                <w:sz w:val="18"/>
                <w:szCs w:val="18"/>
              </w:rPr>
              <w:t>方药</w:t>
            </w:r>
          </w:p>
        </w:tc>
        <w:tc>
          <w:tcPr>
            <w:tcW w:w="1748" w:type="dxa"/>
            <w:vAlign w:val="center"/>
          </w:tcPr>
          <w:p>
            <w:pPr>
              <w:spacing w:line="400" w:lineRule="exact"/>
              <w:rPr>
                <w:rFonts w:ascii="宋体"/>
                <w:color w:val="000000"/>
                <w:sz w:val="18"/>
                <w:szCs w:val="18"/>
              </w:rPr>
            </w:pPr>
            <w:r>
              <w:rPr>
                <w:rFonts w:hint="eastAsia" w:ascii="宋体" w:hAnsi="宋体"/>
                <w:color w:val="000000"/>
                <w:sz w:val="18"/>
                <w:szCs w:val="18"/>
              </w:rPr>
              <w:t>方药</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color w:val="000000"/>
                <w:sz w:val="18"/>
                <w:szCs w:val="18"/>
              </w:rPr>
            </w:pPr>
          </w:p>
        </w:tc>
        <w:tc>
          <w:tcPr>
            <w:tcW w:w="1063" w:type="dxa"/>
            <w:vMerge w:val="continue"/>
            <w:vAlign w:val="center"/>
          </w:tcPr>
          <w:p>
            <w:pPr>
              <w:spacing w:line="400" w:lineRule="exact"/>
              <w:rPr>
                <w:rFonts w:ascii="宋体"/>
                <w:color w:val="000000"/>
                <w:sz w:val="18"/>
                <w:szCs w:val="18"/>
              </w:rPr>
            </w:pPr>
          </w:p>
        </w:tc>
        <w:tc>
          <w:tcPr>
            <w:tcW w:w="1748" w:type="dxa"/>
            <w:vAlign w:val="center"/>
          </w:tcPr>
          <w:p>
            <w:pPr>
              <w:spacing w:line="400" w:lineRule="exact"/>
              <w:rPr>
                <w:rFonts w:ascii="宋体"/>
                <w:color w:val="000000"/>
                <w:sz w:val="18"/>
                <w:szCs w:val="18"/>
              </w:rPr>
            </w:pPr>
            <w:r>
              <w:rPr>
                <w:rFonts w:hint="eastAsia" w:ascii="宋体" w:hAnsi="宋体"/>
                <w:sz w:val="18"/>
                <w:szCs w:val="18"/>
              </w:rPr>
              <w:t>主要药物组成与用法</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sz w:val="18"/>
                <w:szCs w:val="18"/>
              </w:rPr>
            </w:pPr>
          </w:p>
        </w:tc>
        <w:tc>
          <w:tcPr>
            <w:tcW w:w="1063" w:type="dxa"/>
            <w:vAlign w:val="center"/>
          </w:tcPr>
          <w:p>
            <w:pPr>
              <w:spacing w:line="400" w:lineRule="exact"/>
              <w:rPr>
                <w:rFonts w:ascii="宋体"/>
                <w:color w:val="000000"/>
                <w:sz w:val="18"/>
                <w:szCs w:val="18"/>
              </w:rPr>
            </w:pPr>
            <w:r>
              <w:rPr>
                <w:rFonts w:hint="eastAsia" w:ascii="宋体" w:hAnsi="宋体"/>
                <w:sz w:val="18"/>
                <w:szCs w:val="18"/>
              </w:rPr>
              <w:t>中成药</w:t>
            </w:r>
          </w:p>
        </w:tc>
        <w:tc>
          <w:tcPr>
            <w:tcW w:w="1748" w:type="dxa"/>
            <w:vAlign w:val="center"/>
          </w:tcPr>
          <w:p>
            <w:pPr>
              <w:spacing w:line="400" w:lineRule="exact"/>
              <w:rPr>
                <w:rFonts w:ascii="宋体"/>
                <w:color w:val="000000"/>
                <w:sz w:val="18"/>
                <w:szCs w:val="18"/>
              </w:rPr>
            </w:pPr>
            <w:r>
              <w:rPr>
                <w:rFonts w:hint="eastAsia" w:ascii="宋体" w:hAnsi="宋体"/>
                <w:sz w:val="18"/>
                <w:szCs w:val="18"/>
              </w:rPr>
              <w:t>中成药与用法</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674" w:type="dxa"/>
            <w:vMerge w:val="continue"/>
            <w:vAlign w:val="center"/>
          </w:tcPr>
          <w:p>
            <w:pPr>
              <w:spacing w:line="400" w:lineRule="exact"/>
              <w:rPr>
                <w:rFonts w:ascii="宋体"/>
                <w:sz w:val="18"/>
                <w:szCs w:val="18"/>
              </w:rPr>
            </w:pPr>
          </w:p>
        </w:tc>
        <w:tc>
          <w:tcPr>
            <w:tcW w:w="1063" w:type="dxa"/>
            <w:vAlign w:val="center"/>
          </w:tcPr>
          <w:p>
            <w:pPr>
              <w:spacing w:line="400" w:lineRule="exact"/>
              <w:rPr>
                <w:rFonts w:ascii="宋体"/>
                <w:color w:val="000000"/>
                <w:sz w:val="18"/>
                <w:szCs w:val="18"/>
              </w:rPr>
            </w:pPr>
            <w:r>
              <w:rPr>
                <w:rFonts w:hint="eastAsia" w:ascii="宋体" w:hAnsi="宋体"/>
                <w:sz w:val="18"/>
                <w:szCs w:val="18"/>
              </w:rPr>
              <w:t>其他治法</w:t>
            </w:r>
          </w:p>
        </w:tc>
        <w:tc>
          <w:tcPr>
            <w:tcW w:w="1748" w:type="dxa"/>
            <w:vAlign w:val="center"/>
          </w:tcPr>
          <w:p>
            <w:pPr>
              <w:spacing w:line="400" w:lineRule="exact"/>
              <w:rPr>
                <w:rFonts w:ascii="宋体"/>
                <w:color w:val="000000"/>
                <w:sz w:val="18"/>
                <w:szCs w:val="18"/>
              </w:rPr>
            </w:pPr>
            <w:r>
              <w:rPr>
                <w:rFonts w:hint="eastAsia" w:ascii="宋体" w:hAnsi="宋体"/>
                <w:sz w:val="18"/>
                <w:szCs w:val="18"/>
              </w:rPr>
              <w:t>其他治法与治疗方案</w:t>
            </w:r>
          </w:p>
        </w:tc>
        <w:tc>
          <w:tcPr>
            <w:tcW w:w="2198" w:type="dxa"/>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vAlign w:val="center"/>
          </w:tcPr>
          <w:p>
            <w:pPr>
              <w:spacing w:line="360" w:lineRule="auto"/>
              <w:rPr>
                <w:rFonts w:ascii="宋体"/>
                <w:color w:val="000000"/>
                <w:sz w:val="18"/>
                <w:szCs w:val="18"/>
              </w:rPr>
            </w:pPr>
          </w:p>
        </w:tc>
      </w:tr>
      <w:tr>
        <w:tblPrEx>
          <w:tblLayout w:type="fixed"/>
          <w:tblCellMar>
            <w:top w:w="0" w:type="dxa"/>
            <w:left w:w="108" w:type="dxa"/>
            <w:bottom w:w="0" w:type="dxa"/>
            <w:right w:w="108" w:type="dxa"/>
          </w:tblCellMar>
        </w:tblPrEx>
        <w:trPr>
          <w:trHeight w:val="457" w:hRule="atLeast"/>
          <w:jc w:val="center"/>
        </w:trPr>
        <w:tc>
          <w:tcPr>
            <w:tcW w:w="1737" w:type="dxa"/>
            <w:gridSpan w:val="2"/>
            <w:tcBorders>
              <w:bottom w:val="single" w:color="auto" w:sz="4" w:space="0"/>
            </w:tcBorders>
            <w:vAlign w:val="center"/>
          </w:tcPr>
          <w:p>
            <w:pPr>
              <w:spacing w:line="400" w:lineRule="exact"/>
              <w:rPr>
                <w:rFonts w:ascii="宋体"/>
                <w:color w:val="000000"/>
                <w:sz w:val="18"/>
                <w:szCs w:val="18"/>
              </w:rPr>
            </w:pPr>
            <w:r>
              <w:rPr>
                <w:rFonts w:hint="eastAsia" w:ascii="宋体" w:hAnsi="宋体"/>
                <w:sz w:val="18"/>
                <w:szCs w:val="18"/>
              </w:rPr>
              <w:t>调摄与预防</w:t>
            </w:r>
          </w:p>
        </w:tc>
        <w:tc>
          <w:tcPr>
            <w:tcW w:w="1748" w:type="dxa"/>
            <w:tcBorders>
              <w:bottom w:val="single" w:color="auto" w:sz="4" w:space="0"/>
            </w:tcBorders>
            <w:vAlign w:val="center"/>
          </w:tcPr>
          <w:p>
            <w:pPr>
              <w:spacing w:line="400" w:lineRule="exact"/>
              <w:rPr>
                <w:rFonts w:ascii="宋体"/>
                <w:color w:val="000000"/>
                <w:sz w:val="18"/>
                <w:szCs w:val="18"/>
              </w:rPr>
            </w:pPr>
            <w:r>
              <w:rPr>
                <w:rFonts w:hint="eastAsia" w:ascii="宋体" w:hAnsi="宋体"/>
                <w:sz w:val="18"/>
                <w:szCs w:val="18"/>
              </w:rPr>
              <w:t>调摄与预防措施</w:t>
            </w:r>
          </w:p>
        </w:tc>
        <w:tc>
          <w:tcPr>
            <w:tcW w:w="2198" w:type="dxa"/>
            <w:tcBorders>
              <w:bottom w:val="single" w:color="auto" w:sz="4" w:space="0"/>
            </w:tcBorders>
          </w:tcPr>
          <w:p>
            <w:pPr>
              <w:spacing w:line="400" w:lineRule="exact"/>
              <w:rPr>
                <w:rFonts w:ascii="宋体"/>
                <w:color w:val="000000"/>
                <w:sz w:val="18"/>
                <w:szCs w:val="18"/>
              </w:rPr>
            </w:pPr>
            <w:r>
              <w:rPr>
                <w:rFonts w:ascii="宋体" w:hAnsi="宋体"/>
                <w:sz w:val="18"/>
                <w:szCs w:val="18"/>
                <w:u w:val="single"/>
              </w:rPr>
              <w:t xml:space="preserve">1.                         2.                         3.                         </w:t>
            </w:r>
          </w:p>
        </w:tc>
        <w:tc>
          <w:tcPr>
            <w:tcW w:w="1134" w:type="dxa"/>
            <w:tcBorders>
              <w:bottom w:val="single" w:color="auto" w:sz="4" w:space="0"/>
            </w:tcBorders>
          </w:tcPr>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p>
            <w:pPr>
              <w:spacing w:line="400" w:lineRule="exact"/>
              <w:rPr>
                <w:rFonts w:ascii="宋体"/>
                <w:color w:val="000000"/>
                <w:sz w:val="18"/>
                <w:szCs w:val="18"/>
              </w:rPr>
            </w:pPr>
            <w:r>
              <w:rPr>
                <w:rFonts w:hint="eastAsia" w:ascii="宋体" w:hAnsi="Wingdings"/>
                <w:sz w:val="18"/>
                <w:szCs w:val="18"/>
              </w:rPr>
              <w:sym w:font="Wingdings" w:char="F0A8"/>
            </w:r>
            <w:r>
              <w:rPr>
                <w:rFonts w:hint="eastAsia" w:ascii="宋体" w:hAnsi="宋体"/>
                <w:color w:val="000000"/>
                <w:sz w:val="18"/>
                <w:szCs w:val="18"/>
              </w:rPr>
              <w:t>是，</w:t>
            </w:r>
            <w:r>
              <w:rPr>
                <w:rFonts w:hint="eastAsia" w:ascii="宋体" w:hAnsi="Wingdings"/>
                <w:sz w:val="18"/>
                <w:szCs w:val="18"/>
              </w:rPr>
              <w:sym w:font="Wingdings" w:char="F0A8"/>
            </w:r>
            <w:r>
              <w:rPr>
                <w:rFonts w:hint="eastAsia" w:ascii="宋体" w:hAnsi="宋体"/>
                <w:color w:val="000000"/>
                <w:sz w:val="18"/>
                <w:szCs w:val="18"/>
              </w:rPr>
              <w:t>否</w:t>
            </w:r>
          </w:p>
        </w:tc>
        <w:tc>
          <w:tcPr>
            <w:tcW w:w="1276" w:type="dxa"/>
            <w:tcBorders>
              <w:bottom w:val="single" w:color="auto" w:sz="4" w:space="0"/>
            </w:tcBorders>
            <w:vAlign w:val="center"/>
          </w:tcPr>
          <w:p>
            <w:pPr>
              <w:spacing w:line="360" w:lineRule="auto"/>
              <w:rPr>
                <w:rFonts w:ascii="宋体"/>
                <w:color w:val="000000"/>
                <w:sz w:val="18"/>
                <w:szCs w:val="18"/>
              </w:rPr>
            </w:pPr>
          </w:p>
        </w:tc>
      </w:tr>
    </w:tbl>
    <w:p>
      <w:pPr>
        <w:pStyle w:val="12"/>
      </w:pPr>
      <w:r>
        <w:rPr>
          <w:rFonts w:hint="eastAsia"/>
        </w:rPr>
        <w:t>注：根据汇总的病例信息填写。为便于统计分析，表格中半开放的填写内容应根据需要逐条列出。表格不够填写，可自行加页。</w:t>
      </w:r>
    </w:p>
    <w:p>
      <w:pPr>
        <w:pStyle w:val="13"/>
        <w:snapToGrid w:val="0"/>
        <w:spacing w:line="300" w:lineRule="auto"/>
        <w:jc w:val="left"/>
        <w:rPr>
          <w:rFonts w:ascii="宋体" w:hAnsi="宋体" w:eastAsia="宋体"/>
          <w:color w:val="000000"/>
          <w:szCs w:val="21"/>
          <w:u w:color="000000"/>
        </w:rPr>
      </w:pPr>
    </w:p>
    <w:p>
      <w:pPr>
        <w:spacing w:line="300" w:lineRule="auto"/>
        <w:outlineLvl w:val="2"/>
        <w:rPr>
          <w:rFonts w:ascii="仿宋" w:hAnsi="仿宋" w:eastAsia="仿宋" w:cs="仿宋"/>
          <w:b/>
          <w:bCs/>
          <w:sz w:val="30"/>
          <w:szCs w:val="30"/>
        </w:rPr>
      </w:pPr>
    </w:p>
    <w:p>
      <w:pPr>
        <w:outlineLvl w:val="1"/>
        <w:rPr>
          <w:rFonts w:ascii="仿宋" w:hAnsi="仿宋" w:eastAsia="仿宋" w:cs="仿宋"/>
          <w:b/>
          <w:sz w:val="30"/>
          <w:szCs w:val="30"/>
        </w:rPr>
      </w:pPr>
      <w:bookmarkStart w:id="28" w:name="_Toc497922141"/>
      <w:r>
        <w:rPr>
          <w:rFonts w:hint="eastAsia" w:ascii="仿宋" w:hAnsi="仿宋" w:eastAsia="仿宋" w:cs="仿宋"/>
          <w:b/>
          <w:sz w:val="30"/>
          <w:szCs w:val="30"/>
        </w:rPr>
        <w:t>2 会议纪要</w:t>
      </w:r>
      <w:bookmarkEnd w:id="28"/>
    </w:p>
    <w:p>
      <w:pPr>
        <w:ind w:firstLine="600" w:firstLineChars="200"/>
        <w:rPr>
          <w:rFonts w:ascii="仿宋" w:hAnsi="仿宋" w:eastAsia="仿宋" w:cs="仿宋"/>
          <w:sz w:val="30"/>
          <w:szCs w:val="30"/>
        </w:rPr>
      </w:pPr>
      <w:r>
        <w:rPr>
          <w:rFonts w:hint="eastAsia" w:ascii="仿宋" w:hAnsi="仿宋" w:eastAsia="仿宋" w:cs="仿宋"/>
          <w:sz w:val="30"/>
          <w:szCs w:val="30"/>
        </w:rPr>
        <w:t>“登革热中医临床诊疗指南”初稿论证会会议纪要</w:t>
      </w:r>
    </w:p>
    <w:p>
      <w:pPr>
        <w:ind w:firstLine="600" w:firstLineChars="200"/>
        <w:rPr>
          <w:rFonts w:ascii="仿宋" w:hAnsi="仿宋" w:eastAsia="仿宋" w:cs="仿宋"/>
          <w:sz w:val="30"/>
          <w:szCs w:val="30"/>
        </w:rPr>
      </w:pPr>
      <w:r>
        <w:rPr>
          <w:rFonts w:hint="eastAsia" w:ascii="仿宋" w:hAnsi="仿宋" w:eastAsia="仿宋" w:cs="仿宋"/>
          <w:sz w:val="30"/>
          <w:szCs w:val="30"/>
        </w:rPr>
        <w:t>时 间：2015年8月7日</w:t>
      </w:r>
      <w:r>
        <w:rPr>
          <w:rFonts w:hint="eastAsia" w:ascii="仿宋" w:hAnsi="仿宋" w:eastAsia="仿宋" w:cs="仿宋"/>
          <w:sz w:val="30"/>
          <w:szCs w:val="30"/>
        </w:rPr>
        <w:br w:type="textWrapping"/>
      </w:r>
      <w:r>
        <w:rPr>
          <w:rFonts w:hint="eastAsia" w:ascii="仿宋" w:hAnsi="仿宋" w:eastAsia="仿宋" w:cs="仿宋"/>
          <w:sz w:val="30"/>
          <w:szCs w:val="30"/>
        </w:rPr>
        <w:t>　　地 点：广东省中医院研修楼2005-2006室</w:t>
      </w:r>
      <w:r>
        <w:rPr>
          <w:rFonts w:hint="eastAsia" w:ascii="仿宋" w:hAnsi="仿宋" w:eastAsia="仿宋" w:cs="仿宋"/>
          <w:sz w:val="30"/>
          <w:szCs w:val="30"/>
        </w:rPr>
        <w:br w:type="textWrapping"/>
      </w:r>
      <w:r>
        <w:rPr>
          <w:rFonts w:hint="eastAsia" w:ascii="仿宋" w:hAnsi="仿宋" w:eastAsia="仿宋" w:cs="仿宋"/>
          <w:sz w:val="30"/>
          <w:szCs w:val="30"/>
        </w:rPr>
        <w:t>　　主 持：张忠德</w:t>
      </w:r>
      <w:r>
        <w:rPr>
          <w:rFonts w:hint="eastAsia" w:ascii="仿宋" w:hAnsi="仿宋" w:eastAsia="仿宋" w:cs="仿宋"/>
          <w:sz w:val="30"/>
          <w:szCs w:val="30"/>
        </w:rPr>
        <w:br w:type="textWrapping"/>
      </w:r>
      <w:r>
        <w:rPr>
          <w:rFonts w:hint="eastAsia" w:ascii="仿宋" w:hAnsi="仿宋" w:eastAsia="仿宋" w:cs="仿宋"/>
          <w:sz w:val="30"/>
          <w:szCs w:val="30"/>
        </w:rPr>
        <w:t>　　参加人员：王融冰、张汉洪、叶勇、刘南、谭行华、王政林、吴晖、李典鸿、郭新峰、曲敬来、缪英年、何明丰、覃小兰、李芳、张文清、王大伟、龙允杰</w:t>
      </w:r>
    </w:p>
    <w:p>
      <w:pPr>
        <w:ind w:firstLine="600" w:firstLineChars="200"/>
        <w:rPr>
          <w:rFonts w:ascii="仿宋" w:hAnsi="仿宋" w:eastAsia="仿宋" w:cs="仿宋"/>
          <w:sz w:val="30"/>
          <w:szCs w:val="30"/>
        </w:rPr>
      </w:pPr>
      <w:r>
        <w:rPr>
          <w:rFonts w:hint="eastAsia" w:ascii="仿宋" w:hAnsi="仿宋" w:eastAsia="仿宋" w:cs="仿宋"/>
          <w:sz w:val="30"/>
          <w:szCs w:val="30"/>
        </w:rPr>
        <w:t>记 录：刘云涛</w:t>
      </w:r>
      <w:r>
        <w:rPr>
          <w:rFonts w:hint="eastAsia" w:ascii="仿宋" w:hAnsi="仿宋" w:eastAsia="仿宋" w:cs="仿宋"/>
          <w:sz w:val="30"/>
          <w:szCs w:val="30"/>
        </w:rPr>
        <w:br w:type="textWrapping"/>
      </w:r>
      <w:r>
        <w:rPr>
          <w:rFonts w:hint="eastAsia" w:ascii="仿宋" w:hAnsi="仿宋" w:eastAsia="仿宋" w:cs="仿宋"/>
          <w:sz w:val="30"/>
          <w:szCs w:val="30"/>
        </w:rPr>
        <w:t>　　议 题：登革热工作组专家对指南初稿内容进行论证并提出进一步修改的指导性意见。</w:t>
      </w:r>
    </w:p>
    <w:p>
      <w:pPr>
        <w:ind w:firstLine="600" w:firstLineChars="200"/>
        <w:rPr>
          <w:rFonts w:ascii="仿宋" w:hAnsi="仿宋" w:eastAsia="仿宋" w:cs="仿宋"/>
          <w:sz w:val="30"/>
          <w:szCs w:val="30"/>
        </w:rPr>
      </w:pPr>
      <w:r>
        <w:rPr>
          <w:rFonts w:hint="eastAsia" w:ascii="仿宋" w:hAnsi="仿宋" w:eastAsia="仿宋" w:cs="仿宋"/>
          <w:sz w:val="30"/>
          <w:szCs w:val="30"/>
        </w:rPr>
        <w:t>为确保“登革热中医临床实践指南”工作顺利开展, “登革热中医临床诊疗指南”初稿论证会于2015年8月7日在广东省中医院召开。</w:t>
      </w:r>
      <w:r>
        <w:rPr>
          <w:rFonts w:hint="eastAsia" w:ascii="仿宋" w:hAnsi="仿宋" w:eastAsia="仿宋" w:cs="仿宋"/>
          <w:sz w:val="30"/>
          <w:szCs w:val="30"/>
        </w:rPr>
        <w:br w:type="textWrapping"/>
      </w:r>
      <w:r>
        <w:rPr>
          <w:rFonts w:hint="eastAsia" w:ascii="仿宋" w:hAnsi="仿宋" w:eastAsia="仿宋" w:cs="仿宋"/>
          <w:sz w:val="30"/>
          <w:szCs w:val="30"/>
        </w:rPr>
        <w:t>　　会议由广东省中医院张忠德副院长、本项目组长主持，到会各专家作了重要讲话。</w:t>
      </w:r>
    </w:p>
    <w:p>
      <w:pPr>
        <w:ind w:firstLine="600" w:firstLineChars="200"/>
        <w:rPr>
          <w:rFonts w:ascii="仿宋" w:hAnsi="仿宋" w:eastAsia="仿宋" w:cs="仿宋"/>
          <w:sz w:val="30"/>
          <w:szCs w:val="30"/>
        </w:rPr>
      </w:pPr>
      <w:r>
        <w:rPr>
          <w:rFonts w:hint="eastAsia" w:ascii="仿宋" w:hAnsi="仿宋" w:eastAsia="仿宋" w:cs="仿宋"/>
          <w:sz w:val="30"/>
          <w:szCs w:val="30"/>
        </w:rPr>
        <w:t>王融冰北京市中医管理局中西医结合传染病重点学科建设单位、国家中医管理局北京地坛医院传染病基地负责人，首先对本项目及本次会议表示肯定。</w:t>
      </w:r>
    </w:p>
    <w:p>
      <w:pPr>
        <w:ind w:firstLine="600" w:firstLineChars="200"/>
        <w:rPr>
          <w:rFonts w:ascii="仿宋" w:hAnsi="仿宋" w:eastAsia="仿宋" w:cs="仿宋"/>
          <w:sz w:val="30"/>
          <w:szCs w:val="30"/>
        </w:rPr>
      </w:pPr>
      <w:r>
        <w:rPr>
          <w:rFonts w:hint="eastAsia" w:ascii="仿宋" w:hAnsi="仿宋" w:eastAsia="仿宋" w:cs="仿宋"/>
          <w:sz w:val="30"/>
          <w:szCs w:val="30"/>
        </w:rPr>
        <w:t>张忠德副院长提出本次会议讨论方向：中医病名的使用情况；辨证论治情况，证据强度及推荐意见。</w:t>
      </w:r>
    </w:p>
    <w:p>
      <w:pPr>
        <w:ind w:firstLine="600" w:firstLineChars="200"/>
        <w:rPr>
          <w:rFonts w:ascii="仿宋" w:hAnsi="仿宋" w:eastAsia="仿宋" w:cs="仿宋"/>
          <w:sz w:val="30"/>
          <w:szCs w:val="30"/>
        </w:rPr>
      </w:pPr>
      <w:r>
        <w:rPr>
          <w:rFonts w:hint="eastAsia" w:ascii="仿宋" w:hAnsi="仿宋" w:eastAsia="仿宋" w:cs="仿宋"/>
          <w:sz w:val="30"/>
          <w:szCs w:val="30"/>
        </w:rPr>
        <w:t>刘云涛博士，对指南制作的流程及未来规划做了简单的介绍。</w:t>
      </w:r>
    </w:p>
    <w:p>
      <w:pPr>
        <w:ind w:firstLine="600" w:firstLineChars="200"/>
        <w:rPr>
          <w:rFonts w:ascii="仿宋" w:hAnsi="仿宋" w:eastAsia="仿宋" w:cs="仿宋"/>
          <w:sz w:val="30"/>
          <w:szCs w:val="30"/>
        </w:rPr>
      </w:pPr>
      <w:r>
        <w:rPr>
          <w:rFonts w:hint="eastAsia" w:ascii="仿宋" w:hAnsi="仿宋" w:eastAsia="仿宋" w:cs="仿宋"/>
          <w:sz w:val="30"/>
          <w:szCs w:val="30"/>
        </w:rPr>
        <w:t>刘南广州中医药大学第一附属医院急诊科主任，对“登革热疫”这一病名的使用，提出了异议，他认为现代医学界、非医学界均已熟知“登革热”这一病名，无需另命中医病名；及本指南初稿所给出的药物证据级别普遍偏低，影响证据的推广。</w:t>
      </w:r>
    </w:p>
    <w:p>
      <w:pPr>
        <w:ind w:firstLine="600" w:firstLineChars="200"/>
        <w:rPr>
          <w:rFonts w:ascii="仿宋" w:hAnsi="仿宋" w:eastAsia="仿宋" w:cs="仿宋"/>
          <w:sz w:val="30"/>
          <w:szCs w:val="30"/>
        </w:rPr>
      </w:pPr>
      <w:r>
        <w:rPr>
          <w:rFonts w:hint="eastAsia" w:ascii="仿宋" w:hAnsi="仿宋" w:eastAsia="仿宋" w:cs="仿宋"/>
          <w:sz w:val="30"/>
          <w:szCs w:val="30"/>
        </w:rPr>
        <w:t>谭行华广州市第八人民医院中西医结合科主任，认为使用“登革热”作为病名更为妥当，操作性强；因目前中西医对登革热的研究尚不深入，尤其是缺乏严谨的循证医学证据，故建议将“登革热中医临床诊疗指南”改为“登革热中医临床诊疗共识或临床指引”；英文文献不应舍弃中成药相关的动物试验研究，临床常用，无人类临床试验的药物，动物试验也可以形成较低级别的推荐(如喜炎平注射液)；因登革热患者可能存在PLT降低,不建议使用柴胡注射液,防止出现皮下血肿。</w:t>
      </w:r>
    </w:p>
    <w:p>
      <w:pPr>
        <w:ind w:firstLine="600" w:firstLineChars="200"/>
        <w:rPr>
          <w:rFonts w:ascii="仿宋" w:hAnsi="仿宋" w:eastAsia="仿宋" w:cs="仿宋"/>
          <w:sz w:val="30"/>
          <w:szCs w:val="30"/>
        </w:rPr>
      </w:pPr>
      <w:r>
        <w:rPr>
          <w:rFonts w:hint="eastAsia" w:ascii="仿宋" w:hAnsi="仿宋" w:eastAsia="仿宋" w:cs="仿宋"/>
          <w:sz w:val="30"/>
          <w:szCs w:val="30"/>
        </w:rPr>
        <w:t>曲敬来深圳市中医院呼吸科学术带头人，认为“登革热疫”与“登革热”均可以作为本病的中医病名，当登革热大爆发时，可称为“登革热疫”，散在发病时，可称为“登革热”；致病因素中暑邪应当纳为考虑；某些中药汤剂如清瘟败毒饮抗病毒效果好，虽然仅有动物实验作为证据，在证据支持少时，通过专家共识，也可以形成推荐。</w:t>
      </w:r>
    </w:p>
    <w:p>
      <w:pPr>
        <w:ind w:firstLine="600" w:firstLineChars="200"/>
        <w:rPr>
          <w:rFonts w:ascii="仿宋" w:hAnsi="仿宋" w:eastAsia="仿宋" w:cs="仿宋"/>
          <w:sz w:val="30"/>
          <w:szCs w:val="30"/>
        </w:rPr>
      </w:pPr>
      <w:r>
        <w:rPr>
          <w:rFonts w:hint="eastAsia" w:ascii="仿宋" w:hAnsi="仿宋" w:eastAsia="仿宋" w:cs="仿宋"/>
          <w:sz w:val="30"/>
          <w:szCs w:val="30"/>
        </w:rPr>
        <w:t>张汉洪海南省中医院急诊科主任，认为现在有关登革热中医药防治的文献数量偏少，形成的证据级别偏低，推荐强度也不高，故我们更应将中医药充分应用在疾病防治中，虽然现在证据欠缺，但在不远的未来，中医药必能得到很好的应用，这样我们的证据级别也会不断更新、提高；重症登革热的诊断、分型可参照西医的标准；登革热为自限性疾病，我们当找到中医药干预的优势所在，比如在极期时，当达到预防加重，减少并发症的作用。</w:t>
      </w:r>
    </w:p>
    <w:p>
      <w:pPr>
        <w:ind w:firstLine="600" w:firstLineChars="200"/>
        <w:rPr>
          <w:rFonts w:ascii="仿宋" w:hAnsi="仿宋" w:eastAsia="仿宋" w:cs="仿宋"/>
          <w:sz w:val="30"/>
          <w:szCs w:val="30"/>
        </w:rPr>
      </w:pPr>
      <w:r>
        <w:rPr>
          <w:rFonts w:hint="eastAsia" w:ascii="仿宋" w:hAnsi="仿宋" w:eastAsia="仿宋" w:cs="仿宋"/>
          <w:sz w:val="30"/>
          <w:szCs w:val="30"/>
        </w:rPr>
        <w:t>缪英年中山市中医院急诊科的主任医师 ，他赞同使用“登革热疫”作为登革热的中医病名；辨证分型中语言的组织当尽量简练；推荐中药汤剂抛弃“合”、“加减”等诸如此类字眼，尽量独立成方；</w:t>
      </w:r>
    </w:p>
    <w:p>
      <w:pPr>
        <w:ind w:firstLine="600" w:firstLineChars="200"/>
        <w:rPr>
          <w:rFonts w:ascii="仿宋" w:hAnsi="仿宋" w:eastAsia="仿宋" w:cs="仿宋"/>
          <w:sz w:val="30"/>
          <w:szCs w:val="30"/>
        </w:rPr>
      </w:pPr>
      <w:r>
        <w:rPr>
          <w:rFonts w:hint="eastAsia" w:ascii="仿宋" w:hAnsi="仿宋" w:eastAsia="仿宋" w:cs="仿宋"/>
          <w:sz w:val="30"/>
          <w:szCs w:val="30"/>
        </w:rPr>
        <w:t>王融冰教授认为，中西医当巧妙的结合起来，采用西医分期、中医辨证，同时可以用相对更通俗易懂的语言以扩大使用人群（如西医医生）；证据级别无论是否高，只要合适，就可以给出推荐。</w:t>
      </w:r>
    </w:p>
    <w:p>
      <w:pPr>
        <w:ind w:firstLine="600" w:firstLineChars="200"/>
        <w:rPr>
          <w:rFonts w:ascii="仿宋" w:hAnsi="仿宋" w:eastAsia="仿宋" w:cs="仿宋"/>
          <w:sz w:val="30"/>
          <w:szCs w:val="30"/>
        </w:rPr>
      </w:pPr>
      <w:r>
        <w:rPr>
          <w:rFonts w:hint="eastAsia" w:ascii="仿宋" w:hAnsi="仿宋" w:eastAsia="仿宋" w:cs="仿宋"/>
          <w:sz w:val="30"/>
          <w:szCs w:val="30"/>
        </w:rPr>
        <w:t>王政林广西中医药大学第一附属医院急诊科主任，认为使用可根据其发病因素、特点，使用“暑湿”或“湿热”作为病名；辨证分型中的恢复期当阐明“余邪”为何邪；不推荐在各个时期均使用针灸治疗，防止针刺部位的出血，但针灸可用于各别兼症中，此时，当写明具体穴位、针刺方法等；赞同不使用柴胡注射液退热，原因有二：效果差，且易导致针刺部分出血；参考文献中可加入暑温病的治疗经验；患者的感觉同样也可以列入推荐。</w:t>
      </w:r>
    </w:p>
    <w:p>
      <w:pPr>
        <w:ind w:firstLine="600" w:firstLineChars="200"/>
        <w:rPr>
          <w:rFonts w:ascii="仿宋" w:hAnsi="仿宋" w:eastAsia="仿宋" w:cs="仿宋"/>
          <w:sz w:val="30"/>
          <w:szCs w:val="30"/>
        </w:rPr>
      </w:pPr>
      <w:r>
        <w:rPr>
          <w:rFonts w:hint="eastAsia" w:ascii="仿宋" w:hAnsi="仿宋" w:eastAsia="仿宋" w:cs="仿宋"/>
          <w:sz w:val="30"/>
          <w:szCs w:val="30"/>
        </w:rPr>
        <w:t>李典鸿广东省第二中医院心血管科副主任医师，认为“登革热疫”做为中医病名，更能体现中医的特点；推荐药物时应注明剂量、使用方法，因药物的剂量不同，作用也不同，功效亦不同；登革热是自限性疾病，中医药干预优势当体现出截断病程，预防并发症；中医诊疗指南理应由中医医生使用，西医医生不懂辨证，应用也会欠缺疗效。</w:t>
      </w:r>
    </w:p>
    <w:p>
      <w:pPr>
        <w:ind w:firstLine="600" w:firstLineChars="200"/>
        <w:rPr>
          <w:rFonts w:ascii="仿宋" w:hAnsi="仿宋" w:eastAsia="仿宋" w:cs="仿宋"/>
          <w:sz w:val="30"/>
          <w:szCs w:val="30"/>
        </w:rPr>
      </w:pPr>
      <w:r>
        <w:rPr>
          <w:rFonts w:hint="eastAsia" w:ascii="仿宋" w:hAnsi="仿宋" w:eastAsia="仿宋" w:cs="仿宋"/>
          <w:sz w:val="30"/>
          <w:szCs w:val="30"/>
        </w:rPr>
        <w:t>叶勇云南省中医院急诊科主任，认为可以用专家共识的方式确定中医病名，以“登革热疫”作为中医病名较妥；本指南可改名为“登革热疫（登革热）中医临床诊疗指南”；此篇初稿给出得证据级别偏高。</w:t>
      </w:r>
    </w:p>
    <w:p>
      <w:pPr>
        <w:ind w:firstLine="600" w:firstLineChars="200"/>
        <w:rPr>
          <w:rFonts w:ascii="仿宋" w:hAnsi="仿宋" w:eastAsia="仿宋" w:cs="仿宋"/>
          <w:sz w:val="30"/>
          <w:szCs w:val="30"/>
        </w:rPr>
      </w:pPr>
      <w:r>
        <w:rPr>
          <w:rFonts w:hint="eastAsia" w:ascii="仿宋" w:hAnsi="仿宋" w:eastAsia="仿宋" w:cs="仿宋"/>
          <w:sz w:val="30"/>
          <w:szCs w:val="30"/>
        </w:rPr>
        <w:t>郭新峰广东省中医院研究员，就方法学方面发表了意见：采用了刘建平证据评价法，证据推荐级别勿用GRADE B/C，避免误以为使用的GRADE证据评价与推荐体系；从临床重要性出发，对登革热结局进行重要性评价，对关键、重要结局进行优先评价与推荐；每个证据来源需注明研究类型，效果大小（effect size）与可信区间，不良反应与药物可获得性的综合推荐；对症治疗均来自登革热专著或专家诊疗经验，推荐级别相对较低，可以适当引用同类证候或疾病的（非直接）间接证据。</w:t>
      </w:r>
    </w:p>
    <w:p>
      <w:pPr>
        <w:ind w:firstLine="600" w:firstLineChars="200"/>
        <w:rPr>
          <w:rFonts w:ascii="仿宋" w:hAnsi="仿宋" w:eastAsia="仿宋" w:cs="仿宋"/>
          <w:sz w:val="30"/>
          <w:szCs w:val="30"/>
        </w:rPr>
      </w:pPr>
      <w:r>
        <w:rPr>
          <w:rFonts w:hint="eastAsia" w:ascii="仿宋" w:hAnsi="仿宋" w:eastAsia="仿宋" w:cs="仿宋"/>
          <w:sz w:val="30"/>
          <w:szCs w:val="30"/>
        </w:rPr>
        <w:t xml:space="preserve">                                                              </w:t>
      </w:r>
    </w:p>
    <w:p>
      <w:pPr>
        <w:ind w:firstLine="600" w:firstLineChars="200"/>
        <w:rPr>
          <w:rFonts w:ascii="仿宋" w:hAnsi="仿宋" w:eastAsia="仿宋" w:cs="仿宋"/>
          <w:sz w:val="30"/>
          <w:szCs w:val="30"/>
        </w:rPr>
      </w:pPr>
      <w:r>
        <w:rPr>
          <w:rFonts w:hint="eastAsia" w:ascii="仿宋" w:hAnsi="仿宋" w:eastAsia="仿宋" w:cs="仿宋"/>
          <w:sz w:val="30"/>
          <w:szCs w:val="30"/>
        </w:rPr>
        <w:t>总结，本次会议各专家所提出的建议涉及以下几个方面的内容：</w:t>
      </w:r>
    </w:p>
    <w:p>
      <w:pPr>
        <w:ind w:firstLine="600" w:firstLineChars="200"/>
        <w:rPr>
          <w:rFonts w:ascii="仿宋" w:hAnsi="仿宋" w:eastAsia="仿宋" w:cs="仿宋"/>
          <w:sz w:val="30"/>
          <w:szCs w:val="30"/>
        </w:rPr>
      </w:pPr>
      <w:r>
        <w:rPr>
          <w:rFonts w:hint="eastAsia" w:ascii="仿宋" w:hAnsi="仿宋" w:eastAsia="仿宋" w:cs="仿宋"/>
          <w:sz w:val="30"/>
          <w:szCs w:val="30"/>
        </w:rPr>
        <w:t>中医病名</w:t>
      </w:r>
    </w:p>
    <w:p>
      <w:pPr>
        <w:ind w:firstLine="600" w:firstLineChars="200"/>
        <w:rPr>
          <w:rFonts w:ascii="仿宋" w:hAnsi="仿宋" w:eastAsia="仿宋" w:cs="仿宋"/>
          <w:sz w:val="30"/>
          <w:szCs w:val="30"/>
        </w:rPr>
      </w:pPr>
      <w:r>
        <w:rPr>
          <w:rFonts w:hint="eastAsia" w:ascii="仿宋" w:hAnsi="仿宋" w:eastAsia="仿宋" w:cs="仿宋"/>
          <w:sz w:val="30"/>
          <w:szCs w:val="30"/>
        </w:rPr>
        <w:t>证据不充足时，当考虑间接证据，扩大检索范围（纳入动物实验类、同类疾病、相同症状），形成推荐；</w:t>
      </w:r>
    </w:p>
    <w:p>
      <w:pPr>
        <w:ind w:firstLine="600" w:firstLineChars="200"/>
        <w:rPr>
          <w:rFonts w:ascii="仿宋" w:hAnsi="仿宋" w:eastAsia="仿宋" w:cs="仿宋"/>
          <w:sz w:val="30"/>
          <w:szCs w:val="30"/>
        </w:rPr>
      </w:pPr>
      <w:r>
        <w:rPr>
          <w:rFonts w:hint="eastAsia" w:ascii="仿宋" w:hAnsi="仿宋" w:eastAsia="仿宋" w:cs="仿宋"/>
          <w:sz w:val="30"/>
          <w:szCs w:val="30"/>
        </w:rPr>
        <w:t>从临床重要性出发，对登革热结局进行重要性评价，对关键、重要结局进行优先评价与推荐；</w:t>
      </w:r>
    </w:p>
    <w:p>
      <w:pPr>
        <w:ind w:firstLine="600" w:firstLineChars="200"/>
        <w:rPr>
          <w:rFonts w:ascii="仿宋" w:hAnsi="仿宋" w:eastAsia="仿宋" w:cs="仿宋"/>
          <w:sz w:val="30"/>
          <w:szCs w:val="30"/>
        </w:rPr>
      </w:pPr>
      <w:r>
        <w:rPr>
          <w:rFonts w:hint="eastAsia" w:ascii="仿宋" w:hAnsi="仿宋" w:eastAsia="仿宋" w:cs="仿宋"/>
          <w:sz w:val="30"/>
          <w:szCs w:val="30"/>
        </w:rPr>
        <w:t>每个证据来源需注明研究类型，效果大小（effect size）与可信区间，不良反应与药物可获得性的综合推荐；</w:t>
      </w:r>
    </w:p>
    <w:p>
      <w:pPr>
        <w:ind w:firstLine="600" w:firstLineChars="200"/>
        <w:rPr>
          <w:rFonts w:ascii="仿宋" w:hAnsi="仿宋" w:eastAsia="仿宋" w:cs="仿宋"/>
          <w:sz w:val="30"/>
          <w:szCs w:val="30"/>
        </w:rPr>
      </w:pPr>
      <w:r>
        <w:rPr>
          <w:rFonts w:hint="eastAsia" w:ascii="仿宋" w:hAnsi="仿宋" w:eastAsia="仿宋" w:cs="仿宋"/>
          <w:sz w:val="30"/>
          <w:szCs w:val="30"/>
        </w:rPr>
        <w:t>创伤性治疗当避免，或著名利弊；</w:t>
      </w:r>
    </w:p>
    <w:p>
      <w:pPr>
        <w:ind w:firstLine="600" w:firstLineChars="200"/>
        <w:rPr>
          <w:rFonts w:ascii="仿宋" w:hAnsi="仿宋" w:eastAsia="仿宋" w:cs="仿宋"/>
          <w:sz w:val="30"/>
          <w:szCs w:val="30"/>
        </w:rPr>
      </w:pPr>
      <w:r>
        <w:rPr>
          <w:rFonts w:hint="eastAsia" w:ascii="仿宋" w:hAnsi="仿宋" w:eastAsia="仿宋" w:cs="仿宋"/>
          <w:sz w:val="30"/>
          <w:szCs w:val="30"/>
        </w:rPr>
        <w:t>体现中医的优势所在；</w:t>
      </w:r>
    </w:p>
    <w:p>
      <w:pPr>
        <w:outlineLvl w:val="1"/>
        <w:rPr>
          <w:rFonts w:ascii="仿宋" w:hAnsi="仿宋" w:eastAsia="仿宋" w:cs="仿宋"/>
          <w:b/>
          <w:sz w:val="30"/>
          <w:szCs w:val="30"/>
        </w:rPr>
      </w:pPr>
    </w:p>
    <w:p>
      <w:pPr>
        <w:outlineLvl w:val="1"/>
        <w:rPr>
          <w:rFonts w:ascii="仿宋" w:hAnsi="仿宋" w:eastAsia="仿宋" w:cs="仿宋"/>
          <w:b/>
          <w:sz w:val="30"/>
          <w:szCs w:val="30"/>
        </w:rPr>
      </w:pPr>
      <w:bookmarkStart w:id="29" w:name="_Toc497922142"/>
      <w:r>
        <w:rPr>
          <w:rFonts w:hint="eastAsia" w:ascii="仿宋" w:hAnsi="仿宋" w:eastAsia="仿宋" w:cs="仿宋"/>
          <w:b/>
          <w:sz w:val="30"/>
          <w:szCs w:val="30"/>
        </w:rPr>
        <w:t>3 征求意见总结</w:t>
      </w:r>
      <w:bookmarkEnd w:id="29"/>
    </w:p>
    <w:p>
      <w:pPr>
        <w:ind w:firstLine="600" w:firstLineChars="200"/>
        <w:rPr>
          <w:rFonts w:ascii="仿宋" w:hAnsi="仿宋" w:eastAsia="仿宋" w:cs="仿宋"/>
          <w:color w:val="333333"/>
          <w:sz w:val="30"/>
          <w:szCs w:val="30"/>
          <w:shd w:val="clear" w:color="auto" w:fill="FFFFFF"/>
        </w:rPr>
      </w:pPr>
      <w:r>
        <w:rPr>
          <w:rFonts w:hint="eastAsia" w:ascii="仿宋" w:hAnsi="仿宋" w:eastAsia="仿宋" w:cs="仿宋"/>
          <w:color w:val="333333"/>
          <w:sz w:val="30"/>
          <w:szCs w:val="30"/>
          <w:shd w:val="clear" w:color="auto" w:fill="FFFFFF"/>
        </w:rPr>
        <w:t>现代文献检索词原定有7个：登革热/Dengue fever、登革出血热dengue hemorrhagic fever/DHF、登革休克综合征/dengue shock syndrome/DSS、隐性感染/asymptomatic infection、重症登革热/Severe dengue、登革热“脑”型、登革热疫，专家补充检索词3个：骨痛溢血热、骨痛休克综合征、发热（伴）血小板减少症。</w:t>
      </w:r>
    </w:p>
    <w:p>
      <w:pPr>
        <w:outlineLvl w:val="1"/>
        <w:rPr>
          <w:rFonts w:ascii="仿宋" w:hAnsi="仿宋" w:eastAsia="仿宋" w:cs="仿宋"/>
          <w:b/>
          <w:sz w:val="30"/>
          <w:szCs w:val="30"/>
        </w:rPr>
      </w:pPr>
      <w:bookmarkStart w:id="30" w:name="_Toc497922143"/>
      <w:r>
        <w:rPr>
          <w:rFonts w:hint="eastAsia" w:ascii="仿宋" w:hAnsi="仿宋" w:eastAsia="仿宋" w:cs="仿宋"/>
          <w:b/>
          <w:sz w:val="30"/>
          <w:szCs w:val="30"/>
        </w:rPr>
        <w:t>4 评价总结</w:t>
      </w:r>
      <w:bookmarkEnd w:id="30"/>
    </w:p>
    <w:p>
      <w:pPr>
        <w:pStyle w:val="16"/>
        <w:rPr>
          <w:rFonts w:ascii="仿宋" w:hAnsi="仿宋" w:eastAsia="仿宋" w:cs="仿宋"/>
          <w:b/>
          <w:sz w:val="28"/>
          <w:szCs w:val="28"/>
        </w:rPr>
      </w:pPr>
      <w:r>
        <w:t xml:space="preserve"> </w:t>
      </w:r>
      <w:r>
        <w:rPr>
          <w:rFonts w:hint="eastAsia" w:ascii="仿宋" w:hAnsi="仿宋" w:eastAsia="仿宋" w:cs="仿宋"/>
          <w:sz w:val="28"/>
          <w:szCs w:val="28"/>
        </w:rPr>
        <w:t>指南临床应用一致性统计表</w:t>
      </w:r>
      <w:r>
        <w:rPr>
          <w:rFonts w:hint="eastAsia" w:ascii="仿宋" w:hAnsi="仿宋" w:eastAsia="仿宋" w:cs="仿宋"/>
          <w:b/>
          <w:kern w:val="44"/>
          <w:sz w:val="28"/>
          <w:szCs w:val="28"/>
        </w:rPr>
        <w:t xml:space="preserve">      </w:t>
      </w:r>
    </w:p>
    <w:tbl>
      <w:tblPr>
        <w:tblStyle w:val="9"/>
        <w:tblW w:w="9060" w:type="dxa"/>
        <w:jc w:val="center"/>
        <w:tblInd w:w="0" w:type="dxa"/>
        <w:tblLayout w:type="fixed"/>
        <w:tblCellMar>
          <w:top w:w="0" w:type="dxa"/>
          <w:left w:w="108" w:type="dxa"/>
          <w:bottom w:w="0" w:type="dxa"/>
          <w:right w:w="108" w:type="dxa"/>
        </w:tblCellMar>
      </w:tblPr>
      <w:tblGrid>
        <w:gridCol w:w="374"/>
        <w:gridCol w:w="1007"/>
        <w:gridCol w:w="1888"/>
        <w:gridCol w:w="1385"/>
        <w:gridCol w:w="1259"/>
        <w:gridCol w:w="1132"/>
        <w:gridCol w:w="1260"/>
        <w:gridCol w:w="755"/>
      </w:tblGrid>
      <w:tr>
        <w:tblPrEx>
          <w:tblLayout w:type="fixed"/>
          <w:tblCellMar>
            <w:top w:w="0" w:type="dxa"/>
            <w:left w:w="108" w:type="dxa"/>
            <w:bottom w:w="0" w:type="dxa"/>
            <w:right w:w="108" w:type="dxa"/>
          </w:tblCellMar>
        </w:tblPrEx>
        <w:trPr>
          <w:trHeight w:val="37" w:hRule="atLeast"/>
          <w:jc w:val="center"/>
        </w:trPr>
        <w:tc>
          <w:tcPr>
            <w:tcW w:w="1381" w:type="dxa"/>
            <w:gridSpan w:val="2"/>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类别</w:t>
            </w:r>
          </w:p>
        </w:tc>
        <w:tc>
          <w:tcPr>
            <w:tcW w:w="1888" w:type="dxa"/>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内容</w:t>
            </w:r>
          </w:p>
        </w:tc>
        <w:tc>
          <w:tcPr>
            <w:tcW w:w="5036" w:type="dxa"/>
            <w:gridSpan w:val="4"/>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一致率n（%）</w:t>
            </w:r>
          </w:p>
        </w:tc>
        <w:tc>
          <w:tcPr>
            <w:tcW w:w="755" w:type="dxa"/>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一致率</w:t>
            </w:r>
          </w:p>
          <w:p>
            <w:pPr>
              <w:pStyle w:val="17"/>
              <w:rPr>
                <w:rFonts w:ascii="仿宋" w:hAnsi="仿宋" w:eastAsia="仿宋" w:cs="仿宋"/>
                <w:sz w:val="28"/>
                <w:szCs w:val="28"/>
              </w:rPr>
            </w:pPr>
            <w:r>
              <w:rPr>
                <w:rFonts w:hint="eastAsia" w:ascii="仿宋" w:hAnsi="仿宋" w:eastAsia="仿宋" w:cs="仿宋"/>
                <w:sz w:val="28"/>
                <w:szCs w:val="28"/>
              </w:rPr>
              <w:t>（%）</w:t>
            </w:r>
          </w:p>
        </w:tc>
      </w:tr>
      <w:tr>
        <w:tblPrEx>
          <w:tblLayout w:type="fixed"/>
          <w:tblCellMar>
            <w:top w:w="0" w:type="dxa"/>
            <w:left w:w="108" w:type="dxa"/>
            <w:bottom w:w="0" w:type="dxa"/>
            <w:right w:w="108" w:type="dxa"/>
          </w:tblCellMar>
        </w:tblPrEx>
        <w:trPr>
          <w:trHeight w:val="37" w:hRule="atLeast"/>
          <w:jc w:val="center"/>
        </w:trPr>
        <w:tc>
          <w:tcPr>
            <w:tcW w:w="1381" w:type="dxa"/>
            <w:gridSpan w:val="2"/>
            <w:vMerge w:val="continue"/>
          </w:tcPr>
          <w:p>
            <w:pPr>
              <w:pStyle w:val="17"/>
              <w:rPr>
                <w:rFonts w:ascii="仿宋" w:hAnsi="仿宋" w:eastAsia="仿宋" w:cs="仿宋"/>
                <w:b/>
                <w:sz w:val="28"/>
                <w:szCs w:val="28"/>
              </w:rPr>
            </w:pPr>
          </w:p>
        </w:tc>
        <w:tc>
          <w:tcPr>
            <w:tcW w:w="1888" w:type="dxa"/>
            <w:vMerge w:val="continue"/>
            <w:tcBorders>
              <w:bottom w:val="single" w:color="auto" w:sz="4" w:space="0"/>
            </w:tcBorders>
            <w:vAlign w:val="center"/>
          </w:tcPr>
          <w:p>
            <w:pPr>
              <w:pStyle w:val="17"/>
              <w:rPr>
                <w:rFonts w:ascii="仿宋" w:hAnsi="仿宋" w:eastAsia="仿宋" w:cs="仿宋"/>
                <w:b/>
                <w:sz w:val="28"/>
                <w:szCs w:val="28"/>
              </w:rPr>
            </w:pPr>
          </w:p>
        </w:tc>
        <w:tc>
          <w:tcPr>
            <w:tcW w:w="1385"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一致</w:t>
            </w:r>
          </w:p>
        </w:tc>
        <w:tc>
          <w:tcPr>
            <w:tcW w:w="1259"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比较一致</w:t>
            </w:r>
          </w:p>
        </w:tc>
        <w:tc>
          <w:tcPr>
            <w:tcW w:w="1132"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一般</w:t>
            </w:r>
          </w:p>
        </w:tc>
        <w:tc>
          <w:tcPr>
            <w:tcW w:w="1260"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不一致</w:t>
            </w:r>
          </w:p>
        </w:tc>
        <w:tc>
          <w:tcPr>
            <w:tcW w:w="755" w:type="dxa"/>
            <w:vMerge w:val="continue"/>
            <w:tcBorders>
              <w:bottom w:val="single" w:color="auto" w:sz="4" w:space="0"/>
            </w:tcBorders>
            <w:vAlign w:val="center"/>
          </w:tcPr>
          <w:p>
            <w:pPr>
              <w:pStyle w:val="17"/>
              <w:rPr>
                <w:rFonts w:ascii="仿宋" w:hAnsi="仿宋" w:eastAsia="仿宋" w:cs="仿宋"/>
                <w:b/>
                <w:sz w:val="28"/>
                <w:szCs w:val="28"/>
              </w:rPr>
            </w:pPr>
          </w:p>
        </w:tc>
      </w:tr>
      <w:tr>
        <w:tblPrEx>
          <w:tblLayout w:type="fixed"/>
          <w:tblCellMar>
            <w:top w:w="0" w:type="dxa"/>
            <w:left w:w="108" w:type="dxa"/>
            <w:bottom w:w="0" w:type="dxa"/>
            <w:right w:w="108" w:type="dxa"/>
          </w:tblCellMar>
        </w:tblPrEx>
        <w:trPr>
          <w:trHeight w:val="29" w:hRule="atLeast"/>
          <w:jc w:val="center"/>
        </w:trPr>
        <w:tc>
          <w:tcPr>
            <w:tcW w:w="374" w:type="dxa"/>
            <w:vMerge w:val="restart"/>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诊断</w:t>
            </w:r>
          </w:p>
        </w:tc>
        <w:tc>
          <w:tcPr>
            <w:tcW w:w="1007" w:type="dxa"/>
            <w:vMerge w:val="restart"/>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中医诊断</w:t>
            </w:r>
          </w:p>
        </w:tc>
        <w:tc>
          <w:tcPr>
            <w:tcW w:w="1888"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中医疾病诊断</w:t>
            </w:r>
          </w:p>
        </w:tc>
        <w:tc>
          <w:tcPr>
            <w:tcW w:w="1385"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200（100%）</w:t>
            </w:r>
          </w:p>
        </w:tc>
        <w:tc>
          <w:tcPr>
            <w:tcW w:w="1259"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132"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60"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755"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100%</w:t>
            </w:r>
          </w:p>
        </w:tc>
      </w:tr>
      <w:tr>
        <w:tblPrEx>
          <w:tblLayout w:type="fixed"/>
          <w:tblCellMar>
            <w:top w:w="0" w:type="dxa"/>
            <w:left w:w="108" w:type="dxa"/>
            <w:bottom w:w="0" w:type="dxa"/>
            <w:right w:w="108" w:type="dxa"/>
          </w:tblCellMar>
        </w:tblPrEx>
        <w:trPr>
          <w:trHeight w:val="30" w:hRule="atLeast"/>
          <w:jc w:val="center"/>
        </w:trPr>
        <w:tc>
          <w:tcPr>
            <w:tcW w:w="374" w:type="dxa"/>
            <w:vMerge w:val="continue"/>
            <w:vAlign w:val="center"/>
          </w:tcPr>
          <w:p>
            <w:pPr>
              <w:pStyle w:val="17"/>
              <w:rPr>
                <w:rFonts w:ascii="仿宋" w:hAnsi="仿宋" w:eastAsia="仿宋" w:cs="仿宋"/>
                <w:color w:val="000000"/>
                <w:sz w:val="28"/>
                <w:szCs w:val="28"/>
              </w:rPr>
            </w:pPr>
          </w:p>
        </w:tc>
        <w:tc>
          <w:tcPr>
            <w:tcW w:w="1007" w:type="dxa"/>
            <w:vMerge w:val="continue"/>
            <w:vAlign w:val="center"/>
          </w:tcPr>
          <w:p>
            <w:pPr>
              <w:pStyle w:val="17"/>
              <w:rPr>
                <w:rFonts w:ascii="仿宋" w:hAnsi="仿宋" w:eastAsia="仿宋" w:cs="仿宋"/>
                <w:color w:val="000000"/>
                <w:sz w:val="28"/>
                <w:szCs w:val="28"/>
              </w:rPr>
            </w:pPr>
          </w:p>
        </w:tc>
        <w:tc>
          <w:tcPr>
            <w:tcW w:w="1888"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中医疾病诊断依据</w:t>
            </w:r>
          </w:p>
        </w:tc>
        <w:tc>
          <w:tcPr>
            <w:tcW w:w="138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200（100%）</w:t>
            </w:r>
          </w:p>
        </w:tc>
        <w:tc>
          <w:tcPr>
            <w:tcW w:w="1259"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132"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60"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75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100%</w:t>
            </w:r>
          </w:p>
        </w:tc>
      </w:tr>
      <w:tr>
        <w:tblPrEx>
          <w:tblLayout w:type="fixed"/>
          <w:tblCellMar>
            <w:top w:w="0" w:type="dxa"/>
            <w:left w:w="108" w:type="dxa"/>
            <w:bottom w:w="0" w:type="dxa"/>
            <w:right w:w="108" w:type="dxa"/>
          </w:tblCellMar>
        </w:tblPrEx>
        <w:trPr>
          <w:trHeight w:val="30" w:hRule="atLeast"/>
          <w:jc w:val="center"/>
        </w:trPr>
        <w:tc>
          <w:tcPr>
            <w:tcW w:w="374" w:type="dxa"/>
            <w:vMerge w:val="continue"/>
            <w:vAlign w:val="center"/>
          </w:tcPr>
          <w:p>
            <w:pPr>
              <w:pStyle w:val="17"/>
              <w:rPr>
                <w:rFonts w:ascii="仿宋" w:hAnsi="仿宋" w:eastAsia="仿宋" w:cs="仿宋"/>
                <w:color w:val="000000"/>
                <w:sz w:val="28"/>
                <w:szCs w:val="28"/>
              </w:rPr>
            </w:pPr>
          </w:p>
        </w:tc>
        <w:tc>
          <w:tcPr>
            <w:tcW w:w="1007" w:type="dxa"/>
            <w:vMerge w:val="restart"/>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西医诊断</w:t>
            </w:r>
          </w:p>
        </w:tc>
        <w:tc>
          <w:tcPr>
            <w:tcW w:w="1888"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西医疾病诊断</w:t>
            </w:r>
          </w:p>
        </w:tc>
        <w:tc>
          <w:tcPr>
            <w:tcW w:w="138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200（100%）</w:t>
            </w:r>
          </w:p>
        </w:tc>
        <w:tc>
          <w:tcPr>
            <w:tcW w:w="1259"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132"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60"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75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100%</w:t>
            </w:r>
          </w:p>
        </w:tc>
      </w:tr>
      <w:tr>
        <w:tblPrEx>
          <w:tblLayout w:type="fixed"/>
          <w:tblCellMar>
            <w:top w:w="0" w:type="dxa"/>
            <w:left w:w="108" w:type="dxa"/>
            <w:bottom w:w="0" w:type="dxa"/>
            <w:right w:w="108" w:type="dxa"/>
          </w:tblCellMar>
        </w:tblPrEx>
        <w:trPr>
          <w:trHeight w:val="30" w:hRule="atLeast"/>
          <w:jc w:val="center"/>
        </w:trPr>
        <w:tc>
          <w:tcPr>
            <w:tcW w:w="374" w:type="dxa"/>
            <w:vMerge w:val="continue"/>
            <w:vAlign w:val="center"/>
          </w:tcPr>
          <w:p>
            <w:pPr>
              <w:pStyle w:val="17"/>
              <w:rPr>
                <w:rFonts w:ascii="仿宋" w:hAnsi="仿宋" w:eastAsia="仿宋" w:cs="仿宋"/>
                <w:color w:val="000000"/>
                <w:sz w:val="28"/>
                <w:szCs w:val="28"/>
              </w:rPr>
            </w:pPr>
          </w:p>
        </w:tc>
        <w:tc>
          <w:tcPr>
            <w:tcW w:w="1007" w:type="dxa"/>
            <w:vMerge w:val="continue"/>
            <w:vAlign w:val="center"/>
          </w:tcPr>
          <w:p>
            <w:pPr>
              <w:pStyle w:val="17"/>
              <w:rPr>
                <w:rFonts w:ascii="仿宋" w:hAnsi="仿宋" w:eastAsia="仿宋" w:cs="仿宋"/>
                <w:color w:val="000000"/>
                <w:sz w:val="28"/>
                <w:szCs w:val="28"/>
              </w:rPr>
            </w:pPr>
          </w:p>
        </w:tc>
        <w:tc>
          <w:tcPr>
            <w:tcW w:w="1888"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西医疾病诊断依据</w:t>
            </w:r>
          </w:p>
        </w:tc>
        <w:tc>
          <w:tcPr>
            <w:tcW w:w="138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200（100%）</w:t>
            </w:r>
          </w:p>
        </w:tc>
        <w:tc>
          <w:tcPr>
            <w:tcW w:w="1259"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132"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60"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75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100%</w:t>
            </w:r>
          </w:p>
        </w:tc>
      </w:tr>
      <w:tr>
        <w:tblPrEx>
          <w:tblLayout w:type="fixed"/>
          <w:tblCellMar>
            <w:top w:w="0" w:type="dxa"/>
            <w:left w:w="108" w:type="dxa"/>
            <w:bottom w:w="0" w:type="dxa"/>
            <w:right w:w="108" w:type="dxa"/>
          </w:tblCellMar>
        </w:tblPrEx>
        <w:trPr>
          <w:trHeight w:val="29" w:hRule="atLeast"/>
          <w:jc w:val="center"/>
        </w:trPr>
        <w:tc>
          <w:tcPr>
            <w:tcW w:w="374" w:type="dxa"/>
            <w:vMerge w:val="continue"/>
            <w:vAlign w:val="center"/>
          </w:tcPr>
          <w:p>
            <w:pPr>
              <w:pStyle w:val="17"/>
              <w:rPr>
                <w:rFonts w:ascii="仿宋" w:hAnsi="仿宋" w:eastAsia="仿宋" w:cs="仿宋"/>
                <w:color w:val="000000"/>
                <w:sz w:val="28"/>
                <w:szCs w:val="28"/>
              </w:rPr>
            </w:pPr>
          </w:p>
        </w:tc>
        <w:tc>
          <w:tcPr>
            <w:tcW w:w="1007" w:type="dxa"/>
            <w:vMerge w:val="restart"/>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辨证分类</w:t>
            </w:r>
          </w:p>
        </w:tc>
        <w:tc>
          <w:tcPr>
            <w:tcW w:w="1888"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证候分类</w:t>
            </w:r>
          </w:p>
        </w:tc>
        <w:tc>
          <w:tcPr>
            <w:tcW w:w="138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2（1%）</w:t>
            </w:r>
          </w:p>
        </w:tc>
        <w:tc>
          <w:tcPr>
            <w:tcW w:w="1259"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130（65%）</w:t>
            </w:r>
          </w:p>
        </w:tc>
        <w:tc>
          <w:tcPr>
            <w:tcW w:w="1132"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12（6%）</w:t>
            </w:r>
          </w:p>
        </w:tc>
        <w:tc>
          <w:tcPr>
            <w:tcW w:w="1260"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56（28%）</w:t>
            </w:r>
          </w:p>
        </w:tc>
        <w:tc>
          <w:tcPr>
            <w:tcW w:w="755" w:type="dxa"/>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66%</w:t>
            </w:r>
          </w:p>
        </w:tc>
      </w:tr>
      <w:tr>
        <w:tblPrEx>
          <w:tblLayout w:type="fixed"/>
          <w:tblCellMar>
            <w:top w:w="0" w:type="dxa"/>
            <w:left w:w="108" w:type="dxa"/>
            <w:bottom w:w="0" w:type="dxa"/>
            <w:right w:w="108" w:type="dxa"/>
          </w:tblCellMar>
        </w:tblPrEx>
        <w:trPr>
          <w:trHeight w:val="29" w:hRule="atLeast"/>
          <w:jc w:val="center"/>
        </w:trPr>
        <w:tc>
          <w:tcPr>
            <w:tcW w:w="374" w:type="dxa"/>
            <w:vMerge w:val="continue"/>
            <w:tcBorders>
              <w:bottom w:val="nil"/>
            </w:tcBorders>
            <w:vAlign w:val="center"/>
          </w:tcPr>
          <w:p>
            <w:pPr>
              <w:pStyle w:val="17"/>
              <w:rPr>
                <w:rFonts w:ascii="仿宋" w:hAnsi="仿宋" w:eastAsia="仿宋" w:cs="仿宋"/>
                <w:color w:val="000000"/>
                <w:sz w:val="28"/>
                <w:szCs w:val="28"/>
              </w:rPr>
            </w:pPr>
          </w:p>
        </w:tc>
        <w:tc>
          <w:tcPr>
            <w:tcW w:w="1007" w:type="dxa"/>
            <w:vMerge w:val="continue"/>
            <w:tcBorders>
              <w:bottom w:val="nil"/>
            </w:tcBorders>
            <w:vAlign w:val="center"/>
          </w:tcPr>
          <w:p>
            <w:pPr>
              <w:pStyle w:val="17"/>
              <w:rPr>
                <w:rFonts w:ascii="仿宋" w:hAnsi="仿宋" w:eastAsia="仿宋" w:cs="仿宋"/>
                <w:color w:val="000000"/>
                <w:sz w:val="28"/>
                <w:szCs w:val="28"/>
              </w:rPr>
            </w:pPr>
          </w:p>
        </w:tc>
        <w:tc>
          <w:tcPr>
            <w:tcW w:w="1888"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证候诊断依据</w:t>
            </w:r>
          </w:p>
        </w:tc>
        <w:tc>
          <w:tcPr>
            <w:tcW w:w="1385"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147（73.5%）</w:t>
            </w:r>
          </w:p>
        </w:tc>
        <w:tc>
          <w:tcPr>
            <w:tcW w:w="1259"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31（15.5%）</w:t>
            </w:r>
          </w:p>
        </w:tc>
        <w:tc>
          <w:tcPr>
            <w:tcW w:w="1132"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17（8.5%）</w:t>
            </w:r>
          </w:p>
        </w:tc>
        <w:tc>
          <w:tcPr>
            <w:tcW w:w="1260"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5（2.5%）</w:t>
            </w:r>
          </w:p>
        </w:tc>
        <w:tc>
          <w:tcPr>
            <w:tcW w:w="755"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89%</w:t>
            </w:r>
          </w:p>
        </w:tc>
      </w:tr>
      <w:tr>
        <w:tblPrEx>
          <w:tblLayout w:type="fixed"/>
          <w:tblCellMar>
            <w:top w:w="0" w:type="dxa"/>
            <w:left w:w="108" w:type="dxa"/>
            <w:bottom w:w="0" w:type="dxa"/>
            <w:right w:w="108" w:type="dxa"/>
          </w:tblCellMar>
        </w:tblPrEx>
        <w:trPr>
          <w:trHeight w:val="29" w:hRule="atLeast"/>
          <w:jc w:val="center"/>
        </w:trPr>
        <w:tc>
          <w:tcPr>
            <w:tcW w:w="374" w:type="dxa"/>
            <w:vMerge w:val="restart"/>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治疗</w:t>
            </w:r>
          </w:p>
        </w:tc>
        <w:tc>
          <w:tcPr>
            <w:tcW w:w="1007"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治则</w:t>
            </w:r>
          </w:p>
        </w:tc>
        <w:tc>
          <w:tcPr>
            <w:tcW w:w="188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治则</w:t>
            </w:r>
          </w:p>
        </w:tc>
        <w:tc>
          <w:tcPr>
            <w:tcW w:w="138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2（1%）</w:t>
            </w:r>
          </w:p>
        </w:tc>
        <w:tc>
          <w:tcPr>
            <w:tcW w:w="1259"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126（63%）</w:t>
            </w:r>
          </w:p>
        </w:tc>
        <w:tc>
          <w:tcPr>
            <w:tcW w:w="1132"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17（8.5%）</w:t>
            </w:r>
          </w:p>
        </w:tc>
        <w:tc>
          <w:tcPr>
            <w:tcW w:w="1260"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55（27.5%）</w:t>
            </w:r>
          </w:p>
        </w:tc>
        <w:tc>
          <w:tcPr>
            <w:tcW w:w="75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64%</w:t>
            </w:r>
          </w:p>
        </w:tc>
      </w:tr>
      <w:tr>
        <w:tblPrEx>
          <w:tblLayout w:type="fixed"/>
          <w:tblCellMar>
            <w:top w:w="0" w:type="dxa"/>
            <w:left w:w="108" w:type="dxa"/>
            <w:bottom w:w="0" w:type="dxa"/>
            <w:right w:w="108" w:type="dxa"/>
          </w:tblCellMar>
        </w:tblPrEx>
        <w:trPr>
          <w:trHeight w:val="29" w:hRule="atLeast"/>
          <w:jc w:val="center"/>
        </w:trPr>
        <w:tc>
          <w:tcPr>
            <w:tcW w:w="374"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1007" w:type="dxa"/>
            <w:vMerge w:val="restart"/>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方药</w:t>
            </w:r>
          </w:p>
        </w:tc>
        <w:tc>
          <w:tcPr>
            <w:tcW w:w="188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方药</w:t>
            </w:r>
          </w:p>
        </w:tc>
        <w:tc>
          <w:tcPr>
            <w:tcW w:w="138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59"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116（58%）</w:t>
            </w:r>
          </w:p>
        </w:tc>
        <w:tc>
          <w:tcPr>
            <w:tcW w:w="1132"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18（9%）</w:t>
            </w:r>
          </w:p>
        </w:tc>
        <w:tc>
          <w:tcPr>
            <w:tcW w:w="1260"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66（33%）</w:t>
            </w:r>
          </w:p>
        </w:tc>
        <w:tc>
          <w:tcPr>
            <w:tcW w:w="75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58%</w:t>
            </w:r>
          </w:p>
        </w:tc>
      </w:tr>
      <w:tr>
        <w:tblPrEx>
          <w:tblLayout w:type="fixed"/>
          <w:tblCellMar>
            <w:top w:w="0" w:type="dxa"/>
            <w:left w:w="108" w:type="dxa"/>
            <w:bottom w:w="0" w:type="dxa"/>
            <w:right w:w="108" w:type="dxa"/>
          </w:tblCellMar>
        </w:tblPrEx>
        <w:trPr>
          <w:trHeight w:val="29" w:hRule="atLeast"/>
          <w:jc w:val="center"/>
        </w:trPr>
        <w:tc>
          <w:tcPr>
            <w:tcW w:w="374"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1007"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188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主要药物组成与用法</w:t>
            </w:r>
          </w:p>
        </w:tc>
        <w:tc>
          <w:tcPr>
            <w:tcW w:w="138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0</w:t>
            </w:r>
          </w:p>
        </w:tc>
        <w:tc>
          <w:tcPr>
            <w:tcW w:w="1259"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116（58%）</w:t>
            </w:r>
          </w:p>
        </w:tc>
        <w:tc>
          <w:tcPr>
            <w:tcW w:w="1132"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18（9%）</w:t>
            </w:r>
          </w:p>
        </w:tc>
        <w:tc>
          <w:tcPr>
            <w:tcW w:w="1260"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66（33%）</w:t>
            </w:r>
          </w:p>
        </w:tc>
        <w:tc>
          <w:tcPr>
            <w:tcW w:w="75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58%</w:t>
            </w:r>
          </w:p>
        </w:tc>
      </w:tr>
      <w:tr>
        <w:tblPrEx>
          <w:tblLayout w:type="fixed"/>
          <w:tblCellMar>
            <w:top w:w="0" w:type="dxa"/>
            <w:left w:w="108" w:type="dxa"/>
            <w:bottom w:w="0" w:type="dxa"/>
            <w:right w:w="108" w:type="dxa"/>
          </w:tblCellMar>
        </w:tblPrEx>
        <w:trPr>
          <w:trHeight w:val="29" w:hRule="atLeast"/>
          <w:jc w:val="center"/>
        </w:trPr>
        <w:tc>
          <w:tcPr>
            <w:tcW w:w="374" w:type="dxa"/>
            <w:vMerge w:val="continue"/>
            <w:tcBorders>
              <w:top w:val="nil"/>
              <w:left w:val="nil"/>
              <w:bottom w:val="single" w:color="auto" w:sz="8" w:space="0"/>
              <w:right w:val="nil"/>
            </w:tcBorders>
            <w:vAlign w:val="center"/>
          </w:tcPr>
          <w:p>
            <w:pPr>
              <w:pStyle w:val="17"/>
              <w:rPr>
                <w:rFonts w:ascii="仿宋" w:hAnsi="仿宋" w:eastAsia="仿宋" w:cs="仿宋"/>
                <w:sz w:val="28"/>
                <w:szCs w:val="28"/>
              </w:rPr>
            </w:pPr>
          </w:p>
        </w:tc>
        <w:tc>
          <w:tcPr>
            <w:tcW w:w="1007"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中成药</w:t>
            </w:r>
          </w:p>
        </w:tc>
        <w:tc>
          <w:tcPr>
            <w:tcW w:w="1888"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中成药与用法</w:t>
            </w:r>
          </w:p>
        </w:tc>
        <w:tc>
          <w:tcPr>
            <w:tcW w:w="1385"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80(40%)</w:t>
            </w:r>
          </w:p>
        </w:tc>
        <w:tc>
          <w:tcPr>
            <w:tcW w:w="1259"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p>
        </w:tc>
        <w:tc>
          <w:tcPr>
            <w:tcW w:w="1132"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p>
        </w:tc>
        <w:tc>
          <w:tcPr>
            <w:tcW w:w="1260"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p>
        </w:tc>
        <w:tc>
          <w:tcPr>
            <w:tcW w:w="755"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40%</w:t>
            </w:r>
          </w:p>
        </w:tc>
      </w:tr>
    </w:tbl>
    <w:p>
      <w:pPr>
        <w:pStyle w:val="18"/>
        <w:rPr>
          <w:rFonts w:ascii="仿宋" w:hAnsi="仿宋" w:eastAsia="仿宋" w:cs="仿宋"/>
          <w:sz w:val="28"/>
          <w:szCs w:val="28"/>
        </w:rPr>
      </w:pPr>
      <w:r>
        <w:rPr>
          <w:rFonts w:hint="eastAsia" w:ascii="仿宋" w:hAnsi="仿宋" w:eastAsia="仿宋" w:cs="仿宋"/>
          <w:sz w:val="28"/>
          <w:szCs w:val="28"/>
        </w:rPr>
        <w:t>注：N是评价总例数，为200，n是每一类别相应一致性评价的病例数量， (%)=n/N×100%；一致率，即(一致例数+比较一致例数)/评价总例数×100%；每一病例的诊疗信息符合指南中对应的诊疗推荐意见即为一致。</w:t>
      </w:r>
    </w:p>
    <w:p>
      <w:pPr>
        <w:pStyle w:val="18"/>
        <w:rPr>
          <w:rFonts w:ascii="仿宋" w:hAnsi="仿宋" w:eastAsia="仿宋" w:cs="仿宋"/>
          <w:sz w:val="28"/>
          <w:szCs w:val="28"/>
        </w:rPr>
      </w:pPr>
    </w:p>
    <w:p>
      <w:pPr>
        <w:snapToGrid w:val="0"/>
        <w:spacing w:line="300" w:lineRule="auto"/>
        <w:jc w:val="center"/>
        <w:rPr>
          <w:rFonts w:ascii="仿宋" w:hAnsi="仿宋" w:eastAsia="仿宋" w:cs="仿宋"/>
          <w:sz w:val="28"/>
          <w:szCs w:val="28"/>
        </w:rPr>
      </w:pPr>
      <w:r>
        <w:rPr>
          <w:rFonts w:hint="eastAsia" w:ascii="仿宋" w:hAnsi="仿宋" w:eastAsia="仿宋" w:cs="仿宋"/>
          <w:sz w:val="28"/>
          <w:szCs w:val="28"/>
        </w:rPr>
        <w:t>指南临床试用不一致原因汇总分析表</w:t>
      </w:r>
    </w:p>
    <w:tbl>
      <w:tblPr>
        <w:tblStyle w:val="9"/>
        <w:tblW w:w="9060" w:type="dxa"/>
        <w:jc w:val="center"/>
        <w:tblInd w:w="0" w:type="dxa"/>
        <w:tblLayout w:type="fixed"/>
        <w:tblCellMar>
          <w:top w:w="0" w:type="dxa"/>
          <w:left w:w="108" w:type="dxa"/>
          <w:bottom w:w="0" w:type="dxa"/>
          <w:right w:w="108" w:type="dxa"/>
        </w:tblCellMar>
      </w:tblPr>
      <w:tblGrid>
        <w:gridCol w:w="375"/>
        <w:gridCol w:w="775"/>
        <w:gridCol w:w="1268"/>
        <w:gridCol w:w="3831"/>
        <w:gridCol w:w="1405"/>
        <w:gridCol w:w="1406"/>
      </w:tblGrid>
      <w:tr>
        <w:tblPrEx>
          <w:tblLayout w:type="fixed"/>
          <w:tblCellMar>
            <w:top w:w="0" w:type="dxa"/>
            <w:left w:w="108" w:type="dxa"/>
            <w:bottom w:w="0" w:type="dxa"/>
            <w:right w:w="108" w:type="dxa"/>
          </w:tblCellMar>
        </w:tblPrEx>
        <w:trPr>
          <w:trHeight w:val="216" w:hRule="atLeast"/>
          <w:jc w:val="center"/>
        </w:trPr>
        <w:tc>
          <w:tcPr>
            <w:tcW w:w="1150" w:type="dxa"/>
            <w:gridSpan w:val="2"/>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类别</w:t>
            </w:r>
          </w:p>
        </w:tc>
        <w:tc>
          <w:tcPr>
            <w:tcW w:w="1268" w:type="dxa"/>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内容</w:t>
            </w:r>
          </w:p>
        </w:tc>
        <w:tc>
          <w:tcPr>
            <w:tcW w:w="5236" w:type="dxa"/>
            <w:gridSpan w:val="2"/>
            <w:tcBorders>
              <w:top w:val="single" w:color="auto" w:sz="8" w:space="0"/>
              <w:bottom w:val="single" w:color="auto" w:sz="4" w:space="0"/>
            </w:tcBorders>
            <w:vAlign w:val="center"/>
          </w:tcPr>
          <w:p>
            <w:pPr>
              <w:pStyle w:val="17"/>
              <w:rPr>
                <w:rFonts w:ascii="仿宋" w:hAnsi="仿宋" w:eastAsia="仿宋" w:cs="仿宋"/>
                <w:sz w:val="28"/>
                <w:szCs w:val="28"/>
              </w:rPr>
            </w:pPr>
            <w:r>
              <w:rPr>
                <w:rFonts w:hint="eastAsia" w:ascii="仿宋" w:hAnsi="仿宋" w:eastAsia="仿宋" w:cs="仿宋"/>
                <w:sz w:val="28"/>
                <w:szCs w:val="28"/>
              </w:rPr>
              <w:t>不一致原因汇总分析</w:t>
            </w:r>
          </w:p>
        </w:tc>
        <w:tc>
          <w:tcPr>
            <w:tcW w:w="1406" w:type="dxa"/>
            <w:vMerge w:val="restart"/>
            <w:tcBorders>
              <w:top w:val="single" w:color="auto" w:sz="8"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指南草案修改</w:t>
            </w:r>
          </w:p>
          <w:p>
            <w:pPr>
              <w:pStyle w:val="17"/>
              <w:rPr>
                <w:rFonts w:ascii="仿宋" w:hAnsi="仿宋" w:eastAsia="仿宋" w:cs="仿宋"/>
                <w:b/>
                <w:sz w:val="28"/>
                <w:szCs w:val="28"/>
              </w:rPr>
            </w:pPr>
            <w:r>
              <w:rPr>
                <w:rFonts w:hint="eastAsia" w:ascii="仿宋" w:hAnsi="仿宋" w:eastAsia="仿宋" w:cs="仿宋"/>
                <w:sz w:val="28"/>
                <w:szCs w:val="28"/>
              </w:rPr>
              <w:t>意见</w:t>
            </w:r>
          </w:p>
        </w:tc>
      </w:tr>
      <w:tr>
        <w:tblPrEx>
          <w:tblLayout w:type="fixed"/>
          <w:tblCellMar>
            <w:top w:w="0" w:type="dxa"/>
            <w:left w:w="108" w:type="dxa"/>
            <w:bottom w:w="0" w:type="dxa"/>
            <w:right w:w="108" w:type="dxa"/>
          </w:tblCellMar>
        </w:tblPrEx>
        <w:trPr>
          <w:trHeight w:val="177" w:hRule="atLeast"/>
          <w:jc w:val="center"/>
        </w:trPr>
        <w:tc>
          <w:tcPr>
            <w:tcW w:w="1150" w:type="dxa"/>
            <w:gridSpan w:val="2"/>
            <w:vMerge w:val="continue"/>
            <w:tcBorders>
              <w:bottom w:val="single" w:color="auto" w:sz="4" w:space="0"/>
            </w:tcBorders>
            <w:vAlign w:val="center"/>
          </w:tcPr>
          <w:p>
            <w:pPr>
              <w:pStyle w:val="17"/>
              <w:rPr>
                <w:rFonts w:ascii="仿宋" w:hAnsi="仿宋" w:eastAsia="仿宋" w:cs="仿宋"/>
                <w:b/>
                <w:sz w:val="28"/>
                <w:szCs w:val="28"/>
              </w:rPr>
            </w:pPr>
          </w:p>
        </w:tc>
        <w:tc>
          <w:tcPr>
            <w:tcW w:w="1268" w:type="dxa"/>
            <w:vMerge w:val="continue"/>
            <w:tcBorders>
              <w:bottom w:val="single" w:color="auto" w:sz="4" w:space="0"/>
            </w:tcBorders>
            <w:vAlign w:val="center"/>
          </w:tcPr>
          <w:p>
            <w:pPr>
              <w:pStyle w:val="17"/>
              <w:rPr>
                <w:rFonts w:ascii="仿宋" w:hAnsi="仿宋" w:eastAsia="仿宋" w:cs="仿宋"/>
                <w:b/>
                <w:sz w:val="28"/>
                <w:szCs w:val="28"/>
              </w:rPr>
            </w:pPr>
          </w:p>
        </w:tc>
        <w:tc>
          <w:tcPr>
            <w:tcW w:w="3831"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不一致因素汇总</w:t>
            </w:r>
          </w:p>
        </w:tc>
        <w:tc>
          <w:tcPr>
            <w:tcW w:w="1405" w:type="dxa"/>
            <w:tcBorders>
              <w:top w:val="single" w:color="auto" w:sz="4" w:space="0"/>
              <w:bottom w:val="single" w:color="auto" w:sz="4" w:space="0"/>
            </w:tcBorders>
            <w:vAlign w:val="center"/>
          </w:tcPr>
          <w:p>
            <w:pPr>
              <w:pStyle w:val="17"/>
              <w:rPr>
                <w:rFonts w:ascii="仿宋" w:hAnsi="仿宋" w:eastAsia="仿宋" w:cs="仿宋"/>
                <w:b/>
                <w:sz w:val="28"/>
                <w:szCs w:val="28"/>
              </w:rPr>
            </w:pPr>
            <w:r>
              <w:rPr>
                <w:rFonts w:hint="eastAsia" w:ascii="仿宋" w:hAnsi="仿宋" w:eastAsia="仿宋" w:cs="仿宋"/>
                <w:sz w:val="28"/>
                <w:szCs w:val="28"/>
              </w:rPr>
              <w:t>是否为指南技术内容因素</w:t>
            </w:r>
          </w:p>
        </w:tc>
        <w:tc>
          <w:tcPr>
            <w:tcW w:w="1406" w:type="dxa"/>
            <w:vMerge w:val="continue"/>
            <w:tcBorders>
              <w:bottom w:val="single" w:color="auto" w:sz="4" w:space="0"/>
            </w:tcBorders>
            <w:vAlign w:val="center"/>
          </w:tcPr>
          <w:p>
            <w:pPr>
              <w:pStyle w:val="17"/>
              <w:rPr>
                <w:rFonts w:ascii="仿宋" w:hAnsi="仿宋" w:eastAsia="仿宋" w:cs="仿宋"/>
                <w:b/>
                <w:sz w:val="28"/>
                <w:szCs w:val="28"/>
              </w:rPr>
            </w:pPr>
          </w:p>
        </w:tc>
      </w:tr>
      <w:tr>
        <w:tblPrEx>
          <w:tblLayout w:type="fixed"/>
          <w:tblCellMar>
            <w:top w:w="0" w:type="dxa"/>
            <w:left w:w="108" w:type="dxa"/>
            <w:bottom w:w="0" w:type="dxa"/>
            <w:right w:w="108" w:type="dxa"/>
          </w:tblCellMar>
        </w:tblPrEx>
        <w:trPr>
          <w:trHeight w:val="173" w:hRule="atLeast"/>
          <w:jc w:val="center"/>
        </w:trPr>
        <w:tc>
          <w:tcPr>
            <w:tcW w:w="375" w:type="dxa"/>
            <w:vMerge w:val="restart"/>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诊断</w:t>
            </w:r>
          </w:p>
        </w:tc>
        <w:tc>
          <w:tcPr>
            <w:tcW w:w="775" w:type="dxa"/>
            <w:vMerge w:val="restart"/>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辨证分类</w:t>
            </w:r>
          </w:p>
        </w:tc>
        <w:tc>
          <w:tcPr>
            <w:tcW w:w="1268" w:type="dxa"/>
            <w:tcBorders>
              <w:top w:val="single" w:color="auto" w:sz="4" w:space="0"/>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证候分类</w:t>
            </w:r>
          </w:p>
        </w:tc>
        <w:tc>
          <w:tcPr>
            <w:tcW w:w="3831" w:type="dxa"/>
            <w:tcBorders>
              <w:top w:val="single" w:color="auto" w:sz="4" w:space="0"/>
            </w:tcBorders>
          </w:tcPr>
          <w:p>
            <w:pPr>
              <w:pStyle w:val="17"/>
              <w:numPr>
                <w:ilvl w:val="0"/>
                <w:numId w:val="2"/>
              </w:numPr>
              <w:jc w:val="left"/>
              <w:rPr>
                <w:rFonts w:ascii="仿宋" w:hAnsi="仿宋" w:eastAsia="仿宋" w:cs="仿宋"/>
                <w:color w:val="000000"/>
                <w:sz w:val="28"/>
                <w:szCs w:val="28"/>
              </w:rPr>
            </w:pPr>
            <w:r>
              <w:rPr>
                <w:rFonts w:hint="eastAsia" w:ascii="仿宋" w:hAnsi="仿宋" w:eastAsia="仿宋" w:cs="仿宋"/>
                <w:sz w:val="28"/>
                <w:szCs w:val="28"/>
              </w:rPr>
              <w:t xml:space="preserve">临床中证候名称使用不规范                         </w:t>
            </w:r>
          </w:p>
          <w:p>
            <w:pPr>
              <w:pStyle w:val="17"/>
              <w:numPr>
                <w:ilvl w:val="0"/>
                <w:numId w:val="2"/>
              </w:numPr>
              <w:jc w:val="left"/>
              <w:rPr>
                <w:rFonts w:ascii="仿宋" w:hAnsi="仿宋" w:eastAsia="仿宋" w:cs="仿宋"/>
                <w:color w:val="000000"/>
                <w:sz w:val="28"/>
                <w:szCs w:val="28"/>
              </w:rPr>
            </w:pPr>
            <w:r>
              <w:rPr>
                <w:rFonts w:hint="eastAsia" w:ascii="仿宋" w:hAnsi="仿宋" w:eastAsia="仿宋" w:cs="仿宋"/>
                <w:sz w:val="28"/>
                <w:szCs w:val="28"/>
              </w:rPr>
              <w:t xml:space="preserve">合并有基础疾病的患者多综合治疗                      </w:t>
            </w:r>
          </w:p>
        </w:tc>
        <w:tc>
          <w:tcPr>
            <w:tcW w:w="1405" w:type="dxa"/>
            <w:tcBorders>
              <w:top w:val="single" w:color="auto" w:sz="4" w:space="0"/>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tc>
        <w:tc>
          <w:tcPr>
            <w:tcW w:w="1406" w:type="dxa"/>
            <w:tcBorders>
              <w:top w:val="single" w:color="auto" w:sz="4" w:space="0"/>
            </w:tcBorders>
            <w:vAlign w:val="center"/>
          </w:tcPr>
          <w:p>
            <w:pPr>
              <w:pStyle w:val="17"/>
              <w:jc w:val="both"/>
              <w:rPr>
                <w:rFonts w:ascii="仿宋" w:hAnsi="仿宋" w:eastAsia="仿宋" w:cs="仿宋"/>
                <w:color w:val="000000"/>
                <w:sz w:val="28"/>
                <w:szCs w:val="28"/>
              </w:rPr>
            </w:pPr>
          </w:p>
        </w:tc>
      </w:tr>
      <w:tr>
        <w:tblPrEx>
          <w:tblLayout w:type="fixed"/>
          <w:tblCellMar>
            <w:top w:w="0" w:type="dxa"/>
            <w:left w:w="108" w:type="dxa"/>
            <w:bottom w:w="0" w:type="dxa"/>
            <w:right w:w="108" w:type="dxa"/>
          </w:tblCellMar>
        </w:tblPrEx>
        <w:trPr>
          <w:trHeight w:val="530" w:hRule="atLeast"/>
          <w:jc w:val="center"/>
        </w:trPr>
        <w:tc>
          <w:tcPr>
            <w:tcW w:w="375" w:type="dxa"/>
            <w:vMerge w:val="continue"/>
            <w:tcBorders>
              <w:bottom w:val="nil"/>
            </w:tcBorders>
            <w:vAlign w:val="center"/>
          </w:tcPr>
          <w:p>
            <w:pPr>
              <w:pStyle w:val="17"/>
              <w:rPr>
                <w:rFonts w:ascii="仿宋" w:hAnsi="仿宋" w:eastAsia="仿宋" w:cs="仿宋"/>
                <w:color w:val="000000"/>
                <w:sz w:val="28"/>
                <w:szCs w:val="28"/>
              </w:rPr>
            </w:pPr>
          </w:p>
        </w:tc>
        <w:tc>
          <w:tcPr>
            <w:tcW w:w="775" w:type="dxa"/>
            <w:vMerge w:val="continue"/>
            <w:tcBorders>
              <w:bottom w:val="nil"/>
            </w:tcBorders>
            <w:vAlign w:val="center"/>
          </w:tcPr>
          <w:p>
            <w:pPr>
              <w:pStyle w:val="17"/>
              <w:rPr>
                <w:rFonts w:ascii="仿宋" w:hAnsi="仿宋" w:eastAsia="仿宋" w:cs="仿宋"/>
                <w:color w:val="000000"/>
                <w:sz w:val="28"/>
                <w:szCs w:val="28"/>
              </w:rPr>
            </w:pPr>
          </w:p>
        </w:tc>
        <w:tc>
          <w:tcPr>
            <w:tcW w:w="1268" w:type="dxa"/>
            <w:tcBorders>
              <w:bottom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证候诊断依据</w:t>
            </w:r>
          </w:p>
        </w:tc>
        <w:tc>
          <w:tcPr>
            <w:tcW w:w="3831" w:type="dxa"/>
            <w:tcBorders>
              <w:bottom w:val="nil"/>
            </w:tcBorders>
          </w:tcPr>
          <w:p>
            <w:pPr>
              <w:pStyle w:val="17"/>
              <w:jc w:val="left"/>
              <w:rPr>
                <w:rFonts w:ascii="仿宋" w:hAnsi="仿宋" w:eastAsia="仿宋" w:cs="仿宋"/>
                <w:color w:val="000000"/>
                <w:sz w:val="28"/>
                <w:szCs w:val="28"/>
              </w:rPr>
            </w:pPr>
            <w:r>
              <w:rPr>
                <w:rFonts w:hint="eastAsia" w:ascii="仿宋" w:hAnsi="仿宋" w:eastAsia="仿宋" w:cs="仿宋"/>
                <w:sz w:val="28"/>
                <w:szCs w:val="28"/>
              </w:rPr>
              <w:t xml:space="preserve">1.合并有基础疾病的患者症状表现复杂多样                                 </w:t>
            </w:r>
          </w:p>
        </w:tc>
        <w:tc>
          <w:tcPr>
            <w:tcW w:w="1405" w:type="dxa"/>
            <w:tcBorders>
              <w:bottom w:val="nil"/>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tc>
        <w:tc>
          <w:tcPr>
            <w:tcW w:w="1406" w:type="dxa"/>
            <w:tcBorders>
              <w:bottom w:val="nil"/>
            </w:tcBorders>
            <w:vAlign w:val="center"/>
          </w:tcPr>
          <w:p>
            <w:pPr>
              <w:pStyle w:val="17"/>
              <w:rPr>
                <w:rFonts w:ascii="仿宋" w:hAnsi="仿宋" w:eastAsia="仿宋" w:cs="仿宋"/>
                <w:color w:val="000000"/>
                <w:sz w:val="28"/>
                <w:szCs w:val="28"/>
              </w:rPr>
            </w:pPr>
          </w:p>
        </w:tc>
      </w:tr>
      <w:tr>
        <w:tblPrEx>
          <w:tblLayout w:type="fixed"/>
          <w:tblCellMar>
            <w:top w:w="0" w:type="dxa"/>
            <w:left w:w="108" w:type="dxa"/>
            <w:bottom w:w="0" w:type="dxa"/>
            <w:right w:w="108" w:type="dxa"/>
          </w:tblCellMar>
        </w:tblPrEx>
        <w:trPr>
          <w:trHeight w:val="173" w:hRule="atLeast"/>
          <w:jc w:val="center"/>
        </w:trPr>
        <w:tc>
          <w:tcPr>
            <w:tcW w:w="375" w:type="dxa"/>
            <w:vMerge w:val="restart"/>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治疗</w:t>
            </w:r>
          </w:p>
        </w:tc>
        <w:tc>
          <w:tcPr>
            <w:tcW w:w="775"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治则</w:t>
            </w:r>
          </w:p>
        </w:tc>
        <w:tc>
          <w:tcPr>
            <w:tcW w:w="126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治则</w:t>
            </w:r>
          </w:p>
        </w:tc>
        <w:tc>
          <w:tcPr>
            <w:tcW w:w="3831" w:type="dxa"/>
            <w:tcBorders>
              <w:top w:val="nil"/>
              <w:left w:val="nil"/>
              <w:bottom w:val="nil"/>
              <w:right w:val="nil"/>
            </w:tcBorders>
          </w:tcPr>
          <w:p>
            <w:pPr>
              <w:pStyle w:val="17"/>
              <w:numPr>
                <w:ilvl w:val="0"/>
                <w:numId w:val="3"/>
              </w:numPr>
              <w:jc w:val="left"/>
              <w:rPr>
                <w:rFonts w:ascii="仿宋" w:hAnsi="仿宋" w:eastAsia="仿宋" w:cs="仿宋"/>
                <w:sz w:val="28"/>
                <w:szCs w:val="28"/>
              </w:rPr>
            </w:pPr>
            <w:r>
              <w:rPr>
                <w:rFonts w:hint="eastAsia" w:ascii="仿宋" w:hAnsi="仿宋" w:eastAsia="仿宋" w:cs="仿宋"/>
                <w:sz w:val="28"/>
                <w:szCs w:val="28"/>
              </w:rPr>
              <w:t>个体化治疗方案</w:t>
            </w:r>
          </w:p>
          <w:p>
            <w:pPr>
              <w:pStyle w:val="17"/>
              <w:numPr>
                <w:ilvl w:val="0"/>
                <w:numId w:val="3"/>
              </w:numPr>
              <w:jc w:val="left"/>
              <w:rPr>
                <w:rFonts w:ascii="仿宋" w:hAnsi="仿宋" w:eastAsia="仿宋" w:cs="仿宋"/>
                <w:color w:val="000000"/>
                <w:sz w:val="28"/>
                <w:szCs w:val="28"/>
              </w:rPr>
            </w:pPr>
            <w:r>
              <w:rPr>
                <w:rFonts w:hint="eastAsia" w:ascii="仿宋" w:hAnsi="仿宋" w:eastAsia="仿宋" w:cs="仿宋"/>
                <w:sz w:val="28"/>
                <w:szCs w:val="28"/>
              </w:rPr>
              <w:t xml:space="preserve">辨证不规范，致治则不规范                            3.合并有基础疾病，治疗时兼顾基础疾病                                            </w:t>
            </w:r>
          </w:p>
        </w:tc>
        <w:tc>
          <w:tcPr>
            <w:tcW w:w="1405" w:type="dxa"/>
            <w:tcBorders>
              <w:top w:val="nil"/>
              <w:left w:val="nil"/>
              <w:bottom w:val="nil"/>
              <w:right w:val="nil"/>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tc>
        <w:tc>
          <w:tcPr>
            <w:tcW w:w="1406" w:type="dxa"/>
            <w:tcBorders>
              <w:top w:val="nil"/>
              <w:left w:val="nil"/>
              <w:bottom w:val="nil"/>
              <w:right w:val="nil"/>
            </w:tcBorders>
            <w:vAlign w:val="center"/>
          </w:tcPr>
          <w:p>
            <w:pPr>
              <w:pStyle w:val="17"/>
              <w:rPr>
                <w:rFonts w:ascii="仿宋" w:hAnsi="仿宋" w:eastAsia="仿宋" w:cs="仿宋"/>
                <w:color w:val="000000"/>
                <w:sz w:val="28"/>
                <w:szCs w:val="28"/>
              </w:rPr>
            </w:pPr>
          </w:p>
        </w:tc>
      </w:tr>
      <w:tr>
        <w:tblPrEx>
          <w:tblLayout w:type="fixed"/>
          <w:tblCellMar>
            <w:top w:w="0" w:type="dxa"/>
            <w:left w:w="108" w:type="dxa"/>
            <w:bottom w:w="0" w:type="dxa"/>
            <w:right w:w="108" w:type="dxa"/>
          </w:tblCellMar>
        </w:tblPrEx>
        <w:trPr>
          <w:trHeight w:val="173" w:hRule="atLeast"/>
          <w:jc w:val="center"/>
        </w:trPr>
        <w:tc>
          <w:tcPr>
            <w:tcW w:w="375"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775" w:type="dxa"/>
            <w:vMerge w:val="restart"/>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方药</w:t>
            </w:r>
          </w:p>
        </w:tc>
        <w:tc>
          <w:tcPr>
            <w:tcW w:w="126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方药</w:t>
            </w:r>
          </w:p>
        </w:tc>
        <w:tc>
          <w:tcPr>
            <w:tcW w:w="3831" w:type="dxa"/>
            <w:tcBorders>
              <w:top w:val="nil"/>
              <w:left w:val="nil"/>
              <w:bottom w:val="nil"/>
              <w:right w:val="nil"/>
            </w:tcBorders>
          </w:tcPr>
          <w:p>
            <w:pPr>
              <w:pStyle w:val="17"/>
              <w:jc w:val="left"/>
              <w:rPr>
                <w:rFonts w:ascii="仿宋" w:hAnsi="仿宋" w:eastAsia="仿宋" w:cs="仿宋"/>
                <w:color w:val="000000"/>
                <w:sz w:val="28"/>
                <w:szCs w:val="28"/>
              </w:rPr>
            </w:pPr>
            <w:r>
              <w:rPr>
                <w:rFonts w:hint="eastAsia" w:ascii="仿宋" w:hAnsi="仿宋" w:eastAsia="仿宋" w:cs="仿宋"/>
                <w:sz w:val="28"/>
                <w:szCs w:val="28"/>
              </w:rPr>
              <w:t xml:space="preserve">1.个体化治疗方案                        2.医生用药经验、习惯不同                          </w:t>
            </w:r>
          </w:p>
        </w:tc>
        <w:tc>
          <w:tcPr>
            <w:tcW w:w="1405" w:type="dxa"/>
            <w:tcBorders>
              <w:top w:val="nil"/>
              <w:left w:val="nil"/>
              <w:bottom w:val="nil"/>
              <w:right w:val="nil"/>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tc>
        <w:tc>
          <w:tcPr>
            <w:tcW w:w="1406" w:type="dxa"/>
            <w:tcBorders>
              <w:top w:val="nil"/>
              <w:left w:val="nil"/>
              <w:bottom w:val="nil"/>
              <w:right w:val="nil"/>
            </w:tcBorders>
            <w:vAlign w:val="center"/>
          </w:tcPr>
          <w:p>
            <w:pPr>
              <w:pStyle w:val="17"/>
              <w:rPr>
                <w:rFonts w:ascii="仿宋" w:hAnsi="仿宋" w:eastAsia="仿宋" w:cs="仿宋"/>
                <w:color w:val="000000"/>
                <w:sz w:val="28"/>
                <w:szCs w:val="28"/>
              </w:rPr>
            </w:pPr>
          </w:p>
        </w:tc>
      </w:tr>
      <w:tr>
        <w:tblPrEx>
          <w:tblLayout w:type="fixed"/>
          <w:tblCellMar>
            <w:top w:w="0" w:type="dxa"/>
            <w:left w:w="108" w:type="dxa"/>
            <w:bottom w:w="0" w:type="dxa"/>
            <w:right w:w="108" w:type="dxa"/>
          </w:tblCellMar>
        </w:tblPrEx>
        <w:trPr>
          <w:trHeight w:val="173" w:hRule="atLeast"/>
          <w:jc w:val="center"/>
        </w:trPr>
        <w:tc>
          <w:tcPr>
            <w:tcW w:w="375"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775" w:type="dxa"/>
            <w:vMerge w:val="continue"/>
            <w:tcBorders>
              <w:top w:val="nil"/>
              <w:left w:val="nil"/>
              <w:bottom w:val="nil"/>
              <w:right w:val="nil"/>
            </w:tcBorders>
            <w:vAlign w:val="center"/>
          </w:tcPr>
          <w:p>
            <w:pPr>
              <w:pStyle w:val="17"/>
              <w:rPr>
                <w:rFonts w:ascii="仿宋" w:hAnsi="仿宋" w:eastAsia="仿宋" w:cs="仿宋"/>
                <w:color w:val="000000"/>
                <w:sz w:val="28"/>
                <w:szCs w:val="28"/>
              </w:rPr>
            </w:pPr>
          </w:p>
        </w:tc>
        <w:tc>
          <w:tcPr>
            <w:tcW w:w="1268" w:type="dxa"/>
            <w:tcBorders>
              <w:top w:val="nil"/>
              <w:left w:val="nil"/>
              <w:bottom w:val="nil"/>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主要药物组成与用法</w:t>
            </w:r>
          </w:p>
        </w:tc>
        <w:tc>
          <w:tcPr>
            <w:tcW w:w="3831" w:type="dxa"/>
            <w:tcBorders>
              <w:top w:val="nil"/>
              <w:left w:val="nil"/>
              <w:bottom w:val="nil"/>
              <w:right w:val="nil"/>
            </w:tcBorders>
          </w:tcPr>
          <w:p>
            <w:pPr>
              <w:pStyle w:val="17"/>
              <w:jc w:val="left"/>
              <w:rPr>
                <w:rFonts w:ascii="仿宋" w:hAnsi="仿宋" w:eastAsia="仿宋" w:cs="仿宋"/>
                <w:color w:val="000000"/>
                <w:sz w:val="28"/>
                <w:szCs w:val="28"/>
              </w:rPr>
            </w:pPr>
            <w:r>
              <w:rPr>
                <w:rFonts w:hint="eastAsia" w:ascii="仿宋" w:hAnsi="仿宋" w:eastAsia="仿宋" w:cs="仿宋"/>
                <w:sz w:val="28"/>
                <w:szCs w:val="28"/>
              </w:rPr>
              <w:t xml:space="preserve">1.个体化治疗方案                           2.医生用药经验、习惯不同                                                </w:t>
            </w:r>
          </w:p>
        </w:tc>
        <w:tc>
          <w:tcPr>
            <w:tcW w:w="1405" w:type="dxa"/>
            <w:tcBorders>
              <w:top w:val="nil"/>
              <w:left w:val="nil"/>
              <w:bottom w:val="nil"/>
              <w:right w:val="nil"/>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tc>
        <w:tc>
          <w:tcPr>
            <w:tcW w:w="1406" w:type="dxa"/>
            <w:tcBorders>
              <w:top w:val="nil"/>
              <w:left w:val="nil"/>
              <w:bottom w:val="nil"/>
              <w:right w:val="nil"/>
            </w:tcBorders>
            <w:vAlign w:val="center"/>
          </w:tcPr>
          <w:p>
            <w:pPr>
              <w:pStyle w:val="17"/>
              <w:rPr>
                <w:rFonts w:ascii="仿宋" w:hAnsi="仿宋" w:eastAsia="仿宋" w:cs="仿宋"/>
                <w:color w:val="000000"/>
                <w:sz w:val="28"/>
                <w:szCs w:val="28"/>
              </w:rPr>
            </w:pPr>
          </w:p>
        </w:tc>
      </w:tr>
      <w:tr>
        <w:tblPrEx>
          <w:tblLayout w:type="fixed"/>
          <w:tblCellMar>
            <w:top w:w="0" w:type="dxa"/>
            <w:left w:w="108" w:type="dxa"/>
            <w:bottom w:w="0" w:type="dxa"/>
            <w:right w:w="108" w:type="dxa"/>
          </w:tblCellMar>
        </w:tblPrEx>
        <w:trPr>
          <w:trHeight w:val="173" w:hRule="atLeast"/>
          <w:jc w:val="center"/>
        </w:trPr>
        <w:tc>
          <w:tcPr>
            <w:tcW w:w="375" w:type="dxa"/>
            <w:vMerge w:val="continue"/>
            <w:tcBorders>
              <w:top w:val="nil"/>
              <w:left w:val="nil"/>
              <w:bottom w:val="single" w:color="auto" w:sz="8" w:space="0"/>
              <w:right w:val="nil"/>
            </w:tcBorders>
            <w:vAlign w:val="center"/>
          </w:tcPr>
          <w:p>
            <w:pPr>
              <w:pStyle w:val="17"/>
              <w:rPr>
                <w:rFonts w:ascii="仿宋" w:hAnsi="仿宋" w:eastAsia="仿宋" w:cs="仿宋"/>
                <w:sz w:val="28"/>
                <w:szCs w:val="28"/>
              </w:rPr>
            </w:pPr>
          </w:p>
        </w:tc>
        <w:tc>
          <w:tcPr>
            <w:tcW w:w="775"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中成药</w:t>
            </w:r>
          </w:p>
        </w:tc>
        <w:tc>
          <w:tcPr>
            <w:tcW w:w="1268"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sz w:val="28"/>
                <w:szCs w:val="28"/>
              </w:rPr>
              <w:t>中成药与用法</w:t>
            </w:r>
          </w:p>
        </w:tc>
        <w:tc>
          <w:tcPr>
            <w:tcW w:w="3831" w:type="dxa"/>
            <w:tcBorders>
              <w:top w:val="nil"/>
              <w:left w:val="nil"/>
              <w:bottom w:val="single" w:color="auto" w:sz="8" w:space="0"/>
              <w:right w:val="nil"/>
            </w:tcBorders>
          </w:tcPr>
          <w:p>
            <w:pPr>
              <w:pStyle w:val="17"/>
              <w:numPr>
                <w:ilvl w:val="0"/>
                <w:numId w:val="4"/>
              </w:numPr>
              <w:jc w:val="left"/>
              <w:rPr>
                <w:rFonts w:ascii="仿宋" w:hAnsi="仿宋" w:eastAsia="仿宋" w:cs="仿宋"/>
                <w:sz w:val="28"/>
                <w:szCs w:val="28"/>
              </w:rPr>
            </w:pPr>
            <w:r>
              <w:rPr>
                <w:rFonts w:hint="eastAsia" w:ascii="仿宋" w:hAnsi="仿宋" w:eastAsia="仿宋" w:cs="仿宋"/>
                <w:sz w:val="28"/>
                <w:szCs w:val="28"/>
              </w:rPr>
              <w:t>医院、医生经验习惯不同</w:t>
            </w:r>
          </w:p>
          <w:p>
            <w:pPr>
              <w:pStyle w:val="17"/>
              <w:numPr>
                <w:ilvl w:val="0"/>
                <w:numId w:val="4"/>
              </w:numPr>
              <w:jc w:val="left"/>
              <w:rPr>
                <w:rFonts w:ascii="仿宋" w:hAnsi="仿宋" w:eastAsia="仿宋" w:cs="仿宋"/>
                <w:color w:val="000000"/>
                <w:sz w:val="28"/>
                <w:szCs w:val="28"/>
              </w:rPr>
            </w:pPr>
            <w:r>
              <w:rPr>
                <w:rFonts w:hint="eastAsia" w:ascii="仿宋" w:hAnsi="仿宋" w:eastAsia="仿宋" w:cs="仿宋"/>
                <w:sz w:val="28"/>
                <w:szCs w:val="28"/>
              </w:rPr>
              <w:t xml:space="preserve">指南推荐中成药涉及面偏少                                         </w:t>
            </w:r>
          </w:p>
        </w:tc>
        <w:tc>
          <w:tcPr>
            <w:tcW w:w="1405" w:type="dxa"/>
            <w:tcBorders>
              <w:top w:val="nil"/>
              <w:left w:val="nil"/>
              <w:bottom w:val="single" w:color="auto" w:sz="8" w:space="0"/>
              <w:right w:val="nil"/>
            </w:tcBorders>
          </w:tcPr>
          <w:p>
            <w:pPr>
              <w:pStyle w:val="17"/>
              <w:rPr>
                <w:rFonts w:ascii="仿宋" w:hAnsi="仿宋" w:eastAsia="仿宋" w:cs="仿宋"/>
                <w:color w:val="000000"/>
                <w:sz w:val="28"/>
                <w:szCs w:val="28"/>
              </w:rPr>
            </w:pPr>
            <w:r>
              <w:rPr>
                <w:rFonts w:hint="eastAsia" w:ascii="仿宋" w:hAnsi="仿宋" w:eastAsia="仿宋" w:cs="仿宋"/>
                <w:color w:val="000000"/>
                <w:sz w:val="28"/>
                <w:szCs w:val="28"/>
              </w:rPr>
              <w:t>否</w:t>
            </w:r>
          </w:p>
          <w:p>
            <w:pPr>
              <w:pStyle w:val="17"/>
              <w:rPr>
                <w:rFonts w:ascii="仿宋" w:hAnsi="仿宋" w:eastAsia="仿宋" w:cs="仿宋"/>
                <w:color w:val="000000"/>
                <w:sz w:val="28"/>
                <w:szCs w:val="28"/>
              </w:rPr>
            </w:pPr>
            <w:r>
              <w:rPr>
                <w:rFonts w:hint="eastAsia" w:ascii="仿宋" w:hAnsi="仿宋" w:eastAsia="仿宋" w:cs="仿宋"/>
                <w:sz w:val="28"/>
                <w:szCs w:val="28"/>
              </w:rPr>
              <w:t>是</w:t>
            </w:r>
          </w:p>
        </w:tc>
        <w:tc>
          <w:tcPr>
            <w:tcW w:w="1406" w:type="dxa"/>
            <w:tcBorders>
              <w:top w:val="nil"/>
              <w:left w:val="nil"/>
              <w:bottom w:val="single" w:color="auto" w:sz="8" w:space="0"/>
              <w:right w:val="nil"/>
            </w:tcBorders>
            <w:vAlign w:val="center"/>
          </w:tcPr>
          <w:p>
            <w:pPr>
              <w:pStyle w:val="17"/>
              <w:rPr>
                <w:rFonts w:ascii="仿宋" w:hAnsi="仿宋" w:eastAsia="仿宋" w:cs="仿宋"/>
                <w:color w:val="000000"/>
                <w:sz w:val="28"/>
                <w:szCs w:val="28"/>
              </w:rPr>
            </w:pPr>
            <w:r>
              <w:rPr>
                <w:rFonts w:hint="eastAsia" w:ascii="仿宋" w:hAnsi="仿宋" w:eastAsia="仿宋" w:cs="仿宋"/>
                <w:color w:val="000000"/>
                <w:sz w:val="28"/>
                <w:szCs w:val="28"/>
              </w:rPr>
              <w:t>补充完善中成药制剂</w:t>
            </w:r>
          </w:p>
        </w:tc>
      </w:tr>
    </w:tbl>
    <w:p>
      <w:pPr>
        <w:pStyle w:val="12"/>
        <w:snapToGrid w:val="0"/>
        <w:spacing w:line="300" w:lineRule="auto"/>
        <w:rPr>
          <w:rFonts w:ascii="仿宋" w:hAnsi="仿宋" w:eastAsia="仿宋" w:cs="仿宋"/>
          <w:b/>
          <w:sz w:val="30"/>
          <w:szCs w:val="30"/>
        </w:rPr>
      </w:pPr>
      <w:r>
        <w:rPr>
          <w:rFonts w:hint="eastAsia" w:ascii="仿宋" w:hAnsi="仿宋" w:eastAsia="仿宋" w:cs="仿宋"/>
          <w:sz w:val="28"/>
          <w:szCs w:val="28"/>
        </w:rPr>
        <w:t>注：根据汇总的病例信息填写。为便于统计分析，表格中半开放的填写内容应根据需要逐条列</w:t>
      </w:r>
    </w:p>
    <w:p>
      <w:pPr>
        <w:outlineLvl w:val="1"/>
        <w:rPr>
          <w:rFonts w:ascii="仿宋" w:hAnsi="仿宋" w:eastAsia="仿宋" w:cs="仿宋"/>
          <w:b/>
          <w:color w:val="FF0000"/>
          <w:sz w:val="30"/>
          <w:szCs w:val="30"/>
        </w:rPr>
      </w:pPr>
      <w:bookmarkStart w:id="31" w:name="_Toc497922144"/>
      <w:r>
        <w:rPr>
          <w:rFonts w:hint="eastAsia" w:ascii="仿宋" w:hAnsi="仿宋" w:eastAsia="仿宋" w:cs="仿宋"/>
          <w:b/>
          <w:color w:val="FF0000"/>
          <w:sz w:val="30"/>
          <w:szCs w:val="30"/>
        </w:rPr>
        <w:t>5 专家指导组审核总结</w:t>
      </w:r>
      <w:bookmarkEnd w:id="31"/>
    </w:p>
    <w:p>
      <w:pPr>
        <w:rPr>
          <w:rFonts w:ascii="仿宋" w:hAnsi="仿宋" w:eastAsia="仿宋" w:cs="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Garamond">
    <w:panose1 w:val="02020404030301010803"/>
    <w:charset w:val="00"/>
    <w:family w:val="roman"/>
    <w:pitch w:val="default"/>
    <w:sig w:usb0="00000287" w:usb1="00000000" w:usb2="00000000" w:usb3="00000000" w:csb0="0000009F" w:csb1="DFD7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Calibri">
    <w:panose1 w:val="020F0502020204030204"/>
    <w:charset w:val="86"/>
    <w:family w:val="swiss"/>
    <w:pitch w:val="default"/>
    <w:sig w:usb0="E10002FF" w:usb1="4000ACFF" w:usb2="00000009" w:usb3="00000000" w:csb0="2000019F" w:csb1="00000000"/>
  </w:font>
  <w:font w:name="仿宋¨.輀...">
    <w:altName w:val="仿宋"/>
    <w:panose1 w:val="00000000000000000000"/>
    <w:charset w:val="86"/>
    <w:family w:val="roman"/>
    <w:pitch w:val="default"/>
    <w:sig w:usb0="00000000" w:usb1="00000000" w:usb2="00000000" w:usb3="00000000" w:csb0="00040000" w:csb1="00000000"/>
  </w:font>
  <w:font w:name="仿宋.">
    <w:altName w:val="仿宋"/>
    <w:panose1 w:val="00000000000000000000"/>
    <w:charset w:val="86"/>
    <w:family w:val="roma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40001" w:csb1="00000000"/>
  </w:font>
  <w:font w:name="lucida Grande">
    <w:altName w:val="Courier New"/>
    <w:panose1 w:val="00000000000000000000"/>
    <w:charset w:val="00"/>
    <w:family w:val="auto"/>
    <w:pitch w:val="default"/>
    <w:sig w:usb0="00000000" w:usb1="00000000" w:usb2="00000000" w:usb3="00000000" w:csb0="00040001" w:csb1="00000000"/>
  </w:font>
  <w:font w:name="Trebuchet MS">
    <w:panose1 w:val="020B0603020202020204"/>
    <w:charset w:val="00"/>
    <w:family w:val="swiss"/>
    <w:pitch w:val="default"/>
    <w:sig w:usb0="00000287" w:usb1="00000000" w:usb2="00000000" w:usb3="00000000" w:csb0="2000009F" w:csb1="00000000"/>
  </w:font>
  <w:font w:name="ˎ̥">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C920A"/>
    <w:multiLevelType w:val="singleLevel"/>
    <w:tmpl w:val="571C920A"/>
    <w:lvl w:ilvl="0" w:tentative="0">
      <w:start w:val="1"/>
      <w:numFmt w:val="decimal"/>
      <w:suff w:val="nothing"/>
      <w:lvlText w:val="%1."/>
      <w:lvlJc w:val="left"/>
      <w:rPr>
        <w:rFonts w:cs="Times New Roman"/>
      </w:rPr>
    </w:lvl>
  </w:abstractNum>
  <w:abstractNum w:abstractNumId="1">
    <w:nsid w:val="571C924E"/>
    <w:multiLevelType w:val="singleLevel"/>
    <w:tmpl w:val="571C924E"/>
    <w:lvl w:ilvl="0" w:tentative="0">
      <w:start w:val="1"/>
      <w:numFmt w:val="decimal"/>
      <w:suff w:val="nothing"/>
      <w:lvlText w:val="%1."/>
      <w:lvlJc w:val="left"/>
      <w:rPr>
        <w:rFonts w:cs="Times New Roman"/>
      </w:rPr>
    </w:lvl>
  </w:abstractNum>
  <w:abstractNum w:abstractNumId="2">
    <w:nsid w:val="571C936E"/>
    <w:multiLevelType w:val="multilevel"/>
    <w:tmpl w:val="571C936E"/>
    <w:lvl w:ilvl="0" w:tentative="0">
      <w:start w:val="1"/>
      <w:numFmt w:val="decimal"/>
      <w:suff w:val="nothing"/>
      <w:lvlText w:val="%1."/>
      <w:lvlJc w:val="left"/>
      <w:rPr>
        <w:rFonts w:cs="Times New Roman"/>
      </w:rPr>
    </w:lvl>
    <w:lvl w:ilvl="1" w:tentative="0">
      <w:start w:val="2"/>
      <w:numFmt w:val="decimal"/>
      <w:isLgl/>
      <w:lvlText w:val="%1.%2"/>
      <w:lvlJc w:val="left"/>
      <w:pPr>
        <w:ind w:left="960" w:hanging="720"/>
      </w:pPr>
      <w:rPr>
        <w:rFonts w:hint="default"/>
      </w:rPr>
    </w:lvl>
    <w:lvl w:ilvl="2" w:tentative="0">
      <w:start w:val="6"/>
      <w:numFmt w:val="decimal"/>
      <w:isLgl/>
      <w:lvlText w:val="%1.%2.%3"/>
      <w:lvlJc w:val="left"/>
      <w:pPr>
        <w:ind w:left="1200" w:hanging="720"/>
      </w:pPr>
      <w:rPr>
        <w:rFonts w:hint="default"/>
      </w:rPr>
    </w:lvl>
    <w:lvl w:ilvl="3" w:tentative="0">
      <w:start w:val="1"/>
      <w:numFmt w:val="decimal"/>
      <w:isLgl/>
      <w:lvlText w:val="%1.%2.%3.%4"/>
      <w:lvlJc w:val="left"/>
      <w:pPr>
        <w:ind w:left="1440" w:hanging="720"/>
      </w:pPr>
      <w:rPr>
        <w:rFonts w:hint="default"/>
      </w:rPr>
    </w:lvl>
    <w:lvl w:ilvl="4" w:tentative="0">
      <w:start w:val="1"/>
      <w:numFmt w:val="decimal"/>
      <w:isLgl/>
      <w:lvlText w:val="%1.%2.%3.%4.%5"/>
      <w:lvlJc w:val="left"/>
      <w:pPr>
        <w:ind w:left="2040" w:hanging="1080"/>
      </w:pPr>
      <w:rPr>
        <w:rFonts w:hint="default"/>
      </w:rPr>
    </w:lvl>
    <w:lvl w:ilvl="5" w:tentative="0">
      <w:start w:val="1"/>
      <w:numFmt w:val="decimal"/>
      <w:isLgl/>
      <w:lvlText w:val="%1.%2.%3.%4.%5.%6"/>
      <w:lvlJc w:val="left"/>
      <w:pPr>
        <w:ind w:left="2280" w:hanging="1080"/>
      </w:pPr>
      <w:rPr>
        <w:rFonts w:hint="default"/>
      </w:rPr>
    </w:lvl>
    <w:lvl w:ilvl="6" w:tentative="0">
      <w:start w:val="1"/>
      <w:numFmt w:val="decimal"/>
      <w:isLgl/>
      <w:lvlText w:val="%1.%2.%3.%4.%5.%6.%7"/>
      <w:lvlJc w:val="left"/>
      <w:pPr>
        <w:ind w:left="2520" w:hanging="1080"/>
      </w:pPr>
      <w:rPr>
        <w:rFonts w:hint="default"/>
      </w:rPr>
    </w:lvl>
    <w:lvl w:ilvl="7" w:tentative="0">
      <w:start w:val="1"/>
      <w:numFmt w:val="decimal"/>
      <w:isLgl/>
      <w:lvlText w:val="%1.%2.%3.%4.%5.%6.%7.%8"/>
      <w:lvlJc w:val="left"/>
      <w:pPr>
        <w:ind w:left="3120" w:hanging="1440"/>
      </w:pPr>
      <w:rPr>
        <w:rFonts w:hint="default"/>
      </w:rPr>
    </w:lvl>
    <w:lvl w:ilvl="8" w:tentative="0">
      <w:start w:val="1"/>
      <w:numFmt w:val="decimal"/>
      <w:isLgl/>
      <w:lvlText w:val="%1.%2.%3.%4.%5.%6.%7.%8.%9"/>
      <w:lvlJc w:val="left"/>
      <w:pPr>
        <w:ind w:left="3360" w:hanging="1440"/>
      </w:pPr>
      <w:rPr>
        <w:rFonts w:hint="default"/>
      </w:rPr>
    </w:lvl>
  </w:abstractNum>
  <w:abstractNum w:abstractNumId="3">
    <w:nsid w:val="5A02D20D"/>
    <w:multiLevelType w:val="singleLevel"/>
    <w:tmpl w:val="5A02D20D"/>
    <w:lvl w:ilvl="0" w:tentative="0">
      <w:start w:val="2"/>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45FB7"/>
    <w:rsid w:val="000E686D"/>
    <w:rsid w:val="00171F59"/>
    <w:rsid w:val="00172A27"/>
    <w:rsid w:val="001C67F2"/>
    <w:rsid w:val="002263B4"/>
    <w:rsid w:val="00483814"/>
    <w:rsid w:val="0052340E"/>
    <w:rsid w:val="00597D07"/>
    <w:rsid w:val="00652CDA"/>
    <w:rsid w:val="00807BE3"/>
    <w:rsid w:val="00834F22"/>
    <w:rsid w:val="008878F9"/>
    <w:rsid w:val="00991ECD"/>
    <w:rsid w:val="00A549DA"/>
    <w:rsid w:val="00C1081D"/>
    <w:rsid w:val="00CC0BAE"/>
    <w:rsid w:val="00D9196D"/>
    <w:rsid w:val="00DC5706"/>
    <w:rsid w:val="00EE6510"/>
    <w:rsid w:val="00F4045E"/>
    <w:rsid w:val="01684384"/>
    <w:rsid w:val="02156747"/>
    <w:rsid w:val="02417D20"/>
    <w:rsid w:val="029616BC"/>
    <w:rsid w:val="02D14A79"/>
    <w:rsid w:val="03507886"/>
    <w:rsid w:val="05F72A07"/>
    <w:rsid w:val="05F7457C"/>
    <w:rsid w:val="06534F3F"/>
    <w:rsid w:val="06B355B5"/>
    <w:rsid w:val="08194835"/>
    <w:rsid w:val="0A7519C0"/>
    <w:rsid w:val="0C526154"/>
    <w:rsid w:val="0CA73E9A"/>
    <w:rsid w:val="0D565EB7"/>
    <w:rsid w:val="0FC94CD2"/>
    <w:rsid w:val="0FEA20D2"/>
    <w:rsid w:val="103715D7"/>
    <w:rsid w:val="10CE2DC7"/>
    <w:rsid w:val="1158791F"/>
    <w:rsid w:val="12D66D31"/>
    <w:rsid w:val="12E95A9E"/>
    <w:rsid w:val="13B44D61"/>
    <w:rsid w:val="145C3C4A"/>
    <w:rsid w:val="16487C86"/>
    <w:rsid w:val="16DC1226"/>
    <w:rsid w:val="17E44FA7"/>
    <w:rsid w:val="190F1780"/>
    <w:rsid w:val="1B4313F0"/>
    <w:rsid w:val="1B9E157B"/>
    <w:rsid w:val="1BC54520"/>
    <w:rsid w:val="1D806160"/>
    <w:rsid w:val="1E2C47F0"/>
    <w:rsid w:val="1F290E39"/>
    <w:rsid w:val="1F7375BF"/>
    <w:rsid w:val="1FC64829"/>
    <w:rsid w:val="21094A81"/>
    <w:rsid w:val="22C92864"/>
    <w:rsid w:val="23787CB3"/>
    <w:rsid w:val="246F6197"/>
    <w:rsid w:val="25731857"/>
    <w:rsid w:val="258014E8"/>
    <w:rsid w:val="25FD5329"/>
    <w:rsid w:val="27F4169D"/>
    <w:rsid w:val="28844314"/>
    <w:rsid w:val="293E021B"/>
    <w:rsid w:val="29A7472B"/>
    <w:rsid w:val="2A2E2553"/>
    <w:rsid w:val="2B033851"/>
    <w:rsid w:val="2B3B2672"/>
    <w:rsid w:val="2B417588"/>
    <w:rsid w:val="2CAD3B21"/>
    <w:rsid w:val="2E3B40A3"/>
    <w:rsid w:val="2E5462F8"/>
    <w:rsid w:val="2EC3283A"/>
    <w:rsid w:val="2EF8501A"/>
    <w:rsid w:val="2F993D54"/>
    <w:rsid w:val="30570A2F"/>
    <w:rsid w:val="308F1522"/>
    <w:rsid w:val="31826B1D"/>
    <w:rsid w:val="352D2D68"/>
    <w:rsid w:val="35CB2F47"/>
    <w:rsid w:val="36E54603"/>
    <w:rsid w:val="37063EA0"/>
    <w:rsid w:val="3733474F"/>
    <w:rsid w:val="37862F9C"/>
    <w:rsid w:val="37902AC0"/>
    <w:rsid w:val="393D4168"/>
    <w:rsid w:val="3994254D"/>
    <w:rsid w:val="3B4A1EAD"/>
    <w:rsid w:val="3B555788"/>
    <w:rsid w:val="3CE130FB"/>
    <w:rsid w:val="3D7C5F86"/>
    <w:rsid w:val="3E0A3B76"/>
    <w:rsid w:val="3E824AA5"/>
    <w:rsid w:val="3F5F4446"/>
    <w:rsid w:val="3FA54BD7"/>
    <w:rsid w:val="40CD58A0"/>
    <w:rsid w:val="40E70FFD"/>
    <w:rsid w:val="4320557C"/>
    <w:rsid w:val="437B03C3"/>
    <w:rsid w:val="43811D27"/>
    <w:rsid w:val="43D140EB"/>
    <w:rsid w:val="4418402D"/>
    <w:rsid w:val="46AB4F07"/>
    <w:rsid w:val="486C47E3"/>
    <w:rsid w:val="48A72015"/>
    <w:rsid w:val="48F72620"/>
    <w:rsid w:val="49C63BD0"/>
    <w:rsid w:val="4A1A06C0"/>
    <w:rsid w:val="4C4F31FD"/>
    <w:rsid w:val="4CA53EFE"/>
    <w:rsid w:val="4CAB011D"/>
    <w:rsid w:val="4CB8428D"/>
    <w:rsid w:val="4D635D9B"/>
    <w:rsid w:val="4DF35F1D"/>
    <w:rsid w:val="4E853216"/>
    <w:rsid w:val="4F62218F"/>
    <w:rsid w:val="4F9A2C3C"/>
    <w:rsid w:val="4F9F4D36"/>
    <w:rsid w:val="4FF22DAF"/>
    <w:rsid w:val="511E3E08"/>
    <w:rsid w:val="512A165A"/>
    <w:rsid w:val="519423F8"/>
    <w:rsid w:val="5220610F"/>
    <w:rsid w:val="5302758C"/>
    <w:rsid w:val="533E7ED9"/>
    <w:rsid w:val="53A33C58"/>
    <w:rsid w:val="53F50A46"/>
    <w:rsid w:val="546615C4"/>
    <w:rsid w:val="54AA7B04"/>
    <w:rsid w:val="54EC3069"/>
    <w:rsid w:val="552744BB"/>
    <w:rsid w:val="56933B5E"/>
    <w:rsid w:val="56A66AB4"/>
    <w:rsid w:val="56C6536A"/>
    <w:rsid w:val="575720D0"/>
    <w:rsid w:val="57D95410"/>
    <w:rsid w:val="5822490D"/>
    <w:rsid w:val="5AA30C3B"/>
    <w:rsid w:val="5B1F4387"/>
    <w:rsid w:val="5B2E0581"/>
    <w:rsid w:val="5B505E34"/>
    <w:rsid w:val="5B964860"/>
    <w:rsid w:val="5F6322C9"/>
    <w:rsid w:val="5F707B6B"/>
    <w:rsid w:val="5FA22E9F"/>
    <w:rsid w:val="60044D4F"/>
    <w:rsid w:val="61D948AC"/>
    <w:rsid w:val="622B3543"/>
    <w:rsid w:val="62922259"/>
    <w:rsid w:val="64730452"/>
    <w:rsid w:val="658D06ED"/>
    <w:rsid w:val="66691ED9"/>
    <w:rsid w:val="66D05CB0"/>
    <w:rsid w:val="67DE53A3"/>
    <w:rsid w:val="684F1661"/>
    <w:rsid w:val="68731400"/>
    <w:rsid w:val="69D479FC"/>
    <w:rsid w:val="6AFC677A"/>
    <w:rsid w:val="6C042E3C"/>
    <w:rsid w:val="6D6D4747"/>
    <w:rsid w:val="6DFB48E3"/>
    <w:rsid w:val="6E38637F"/>
    <w:rsid w:val="6EAE487A"/>
    <w:rsid w:val="6F886F14"/>
    <w:rsid w:val="700D2EC8"/>
    <w:rsid w:val="70A30135"/>
    <w:rsid w:val="716B5A49"/>
    <w:rsid w:val="72811A16"/>
    <w:rsid w:val="72835FF1"/>
    <w:rsid w:val="73E031AB"/>
    <w:rsid w:val="74F87B29"/>
    <w:rsid w:val="76661E73"/>
    <w:rsid w:val="766A637F"/>
    <w:rsid w:val="77F02187"/>
    <w:rsid w:val="78D441C6"/>
    <w:rsid w:val="7918720E"/>
    <w:rsid w:val="79C62EC8"/>
    <w:rsid w:val="79E86EE5"/>
    <w:rsid w:val="7A5E4789"/>
    <w:rsid w:val="7B611463"/>
    <w:rsid w:val="7C6A6277"/>
    <w:rsid w:val="7F31515F"/>
    <w:rsid w:val="7FE0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Balloon Text"/>
    <w:basedOn w:val="1"/>
    <w:link w:val="19"/>
    <w:qFormat/>
    <w:uiPriority w:val="0"/>
    <w:rPr>
      <w:sz w:val="18"/>
      <w:szCs w:val="18"/>
    </w:rPr>
  </w:style>
  <w:style w:type="paragraph" w:styleId="4">
    <w:name w:val="toc 1"/>
    <w:basedOn w:val="1"/>
    <w:next w:val="1"/>
    <w:qFormat/>
    <w:uiPriority w:val="39"/>
  </w:style>
  <w:style w:type="paragraph" w:styleId="5">
    <w:name w:val="toc 2"/>
    <w:basedOn w:val="1"/>
    <w:next w:val="1"/>
    <w:qFormat/>
    <w:uiPriority w:val="39"/>
    <w:pPr>
      <w:ind w:left="420" w:leftChars="200"/>
    </w:pPr>
  </w:style>
  <w:style w:type="paragraph" w:styleId="6">
    <w:name w:val="Normal (Web)"/>
    <w:basedOn w:val="1"/>
    <w:uiPriority w:val="0"/>
    <w:rPr>
      <w:sz w:val="24"/>
    </w:rPr>
  </w:style>
  <w:style w:type="character" w:styleId="8">
    <w:name w:val="Hyperlink"/>
    <w:basedOn w:val="7"/>
    <w:unhideWhenUsed/>
    <w:qFormat/>
    <w:uiPriority w:val="99"/>
    <w:rPr>
      <w:color w:val="0563C1" w:themeColor="hyperlink"/>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段"/>
    <w:qFormat/>
    <w:uiPriority w:val="99"/>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12">
    <w:name w:val="注："/>
    <w:next w:val="11"/>
    <w:qFormat/>
    <w:uiPriority w:val="99"/>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3">
    <w:name w:val="样式1"/>
    <w:basedOn w:val="1"/>
    <w:qFormat/>
    <w:uiPriority w:val="99"/>
    <w:pPr>
      <w:jc w:val="center"/>
    </w:pPr>
    <w:rPr>
      <w:rFonts w:ascii="黑体" w:eastAsia="黑体"/>
      <w:bCs/>
      <w:sz w:val="30"/>
      <w:szCs w:val="30"/>
    </w:rPr>
  </w:style>
  <w:style w:type="paragraph" w:customStyle="1" w:styleId="14">
    <w:name w:val="附言"/>
    <w:basedOn w:val="1"/>
    <w:next w:val="15"/>
    <w:qFormat/>
    <w:uiPriority w:val="99"/>
    <w:pPr>
      <w:spacing w:line="360" w:lineRule="auto"/>
      <w:jc w:val="center"/>
    </w:pPr>
    <w:rPr>
      <w:b/>
      <w:color w:val="000000"/>
      <w:spacing w:val="-16"/>
      <w:szCs w:val="21"/>
    </w:rPr>
  </w:style>
  <w:style w:type="paragraph" w:customStyle="1" w:styleId="15">
    <w:name w:val="抄送列表"/>
    <w:basedOn w:val="1"/>
    <w:qFormat/>
    <w:uiPriority w:val="99"/>
    <w:pPr>
      <w:keepLines/>
      <w:widowControl/>
      <w:spacing w:line="240" w:lineRule="atLeast"/>
      <w:jc w:val="center"/>
    </w:pPr>
    <w:rPr>
      <w:rFonts w:ascii="Garamond" w:hAnsi="Garamond"/>
      <w:kern w:val="18"/>
      <w:sz w:val="15"/>
      <w:szCs w:val="15"/>
    </w:rPr>
  </w:style>
  <w:style w:type="paragraph" w:customStyle="1" w:styleId="16">
    <w:name w:val="表头"/>
    <w:basedOn w:val="1"/>
    <w:qFormat/>
    <w:uiPriority w:val="99"/>
    <w:pPr>
      <w:autoSpaceDE w:val="0"/>
      <w:autoSpaceDN w:val="0"/>
      <w:adjustRightInd w:val="0"/>
      <w:snapToGrid w:val="0"/>
      <w:jc w:val="center"/>
    </w:pPr>
    <w:rPr>
      <w:rFonts w:ascii="黑体" w:hAnsi="黑体" w:eastAsia="黑体"/>
      <w:kern w:val="0"/>
      <w:sz w:val="24"/>
      <w:szCs w:val="20"/>
    </w:rPr>
  </w:style>
  <w:style w:type="paragraph" w:customStyle="1" w:styleId="17">
    <w:name w:val="表身"/>
    <w:basedOn w:val="1"/>
    <w:qFormat/>
    <w:uiPriority w:val="99"/>
    <w:pPr>
      <w:snapToGrid w:val="0"/>
      <w:jc w:val="center"/>
    </w:pPr>
    <w:rPr>
      <w:rFonts w:ascii="宋体"/>
      <w:szCs w:val="20"/>
    </w:rPr>
  </w:style>
  <w:style w:type="paragraph" w:customStyle="1" w:styleId="18">
    <w:name w:val="表注"/>
    <w:basedOn w:val="1"/>
    <w:qFormat/>
    <w:uiPriority w:val="99"/>
    <w:pPr>
      <w:autoSpaceDE w:val="0"/>
      <w:autoSpaceDN w:val="0"/>
      <w:adjustRightInd w:val="0"/>
    </w:pPr>
    <w:rPr>
      <w:rFonts w:ascii="宋体"/>
      <w:sz w:val="24"/>
      <w:szCs w:val="20"/>
    </w:rPr>
  </w:style>
  <w:style w:type="character" w:customStyle="1" w:styleId="19">
    <w:name w:val="批注框文本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ED5E5-B503-4BB3-B5C8-E8A94F110B66}">
  <ds:schemaRefs/>
</ds:datastoreItem>
</file>

<file path=docProps/app.xml><?xml version="1.0" encoding="utf-8"?>
<Properties xmlns="http://schemas.openxmlformats.org/officeDocument/2006/extended-properties" xmlns:vt="http://schemas.openxmlformats.org/officeDocument/2006/docPropsVTypes">
  <Template>Normal</Template>
  <Pages>25</Pages>
  <Words>7460</Words>
  <Characters>7986</Characters>
  <Lines>66</Lines>
  <Paragraphs>30</Paragraphs>
  <ScaleCrop>false</ScaleCrop>
  <LinksUpToDate>false</LinksUpToDate>
  <CharactersWithSpaces>15416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yu</dc:creator>
  <cp:lastModifiedBy>唐丽娟</cp:lastModifiedBy>
  <dcterms:modified xsi:type="dcterms:W3CDTF">2017-11-08T10:17:39Z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